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006BB" w14:textId="77777777" w:rsidR="00D32B64" w:rsidRDefault="00D32B64" w:rsidP="00463F36">
      <w:pPr>
        <w:pStyle w:val="Default"/>
        <w:spacing w:line="276" w:lineRule="auto"/>
        <w:jc w:val="center"/>
        <w:rPr>
          <w:rFonts w:asciiTheme="majorHAnsi" w:hAnsiTheme="majorHAnsi" w:cstheme="majorBidi"/>
          <w:b/>
          <w:bCs/>
          <w:color w:val="auto"/>
          <w:sz w:val="30"/>
          <w:szCs w:val="30"/>
          <w:lang w:val="en-AU" w:eastAsia="zh-CN"/>
        </w:rPr>
      </w:pPr>
      <w:r w:rsidRPr="00D32B64">
        <w:rPr>
          <w:rFonts w:asciiTheme="majorHAnsi" w:hAnsiTheme="majorHAnsi" w:cstheme="majorBidi"/>
          <w:b/>
          <w:bCs/>
          <w:color w:val="auto"/>
          <w:sz w:val="30"/>
          <w:szCs w:val="30"/>
          <w:lang w:val="en-AU" w:eastAsia="zh-CN"/>
        </w:rPr>
        <w:t>Adaptive Architecture for Secure Digital Payments</w:t>
      </w:r>
    </w:p>
    <w:p w14:paraId="644F1169" w14:textId="77777777" w:rsidR="00851950" w:rsidRPr="00851950" w:rsidRDefault="00851950" w:rsidP="00851950">
      <w:pPr>
        <w:pStyle w:val="Default"/>
        <w:spacing w:line="276" w:lineRule="auto"/>
        <w:jc w:val="center"/>
        <w:rPr>
          <w:rFonts w:ascii="Sylfaen" w:hAnsi="Sylfaen"/>
          <w:b/>
          <w:sz w:val="22"/>
          <w:szCs w:val="22"/>
        </w:rPr>
      </w:pPr>
      <w:r w:rsidRPr="00851950">
        <w:rPr>
          <w:rFonts w:ascii="Sylfaen" w:hAnsi="Sylfaen"/>
          <w:b/>
          <w:sz w:val="22"/>
          <w:szCs w:val="22"/>
        </w:rPr>
        <w:t>Swapnil Baradhwaj Kadiyam</w:t>
      </w:r>
    </w:p>
    <w:p w14:paraId="044F6617" w14:textId="485BC2D5" w:rsidR="000E208D" w:rsidRPr="00851950" w:rsidRDefault="00851950" w:rsidP="00851950">
      <w:pPr>
        <w:pStyle w:val="Default"/>
        <w:spacing w:line="276" w:lineRule="auto"/>
        <w:jc w:val="center"/>
        <w:rPr>
          <w:rFonts w:ascii="Sylfaen" w:hAnsi="Sylfaen"/>
          <w:bCs/>
          <w:sz w:val="22"/>
          <w:szCs w:val="22"/>
        </w:rPr>
      </w:pPr>
      <w:r w:rsidRPr="00851950">
        <w:rPr>
          <w:rFonts w:ascii="Sylfaen" w:hAnsi="Sylfaen"/>
          <w:bCs/>
          <w:sz w:val="22"/>
          <w:szCs w:val="22"/>
        </w:rPr>
        <w:t>Solution Architect</w:t>
      </w:r>
    </w:p>
    <w:tbl>
      <w:tblPr>
        <w:tblStyle w:val="TableGrid"/>
        <w:tblW w:w="4893"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0"/>
        <w:gridCol w:w="238"/>
        <w:gridCol w:w="7127"/>
      </w:tblGrid>
      <w:tr w:rsidR="00987E2F" w:rsidRPr="00026458" w14:paraId="47E8E5D3" w14:textId="77777777" w:rsidTr="00CE473E">
        <w:trPr>
          <w:trHeight w:val="474"/>
          <w:jc w:val="center"/>
        </w:trPr>
        <w:tc>
          <w:tcPr>
            <w:tcW w:w="1416" w:type="pct"/>
            <w:tcBorders>
              <w:top w:val="single" w:sz="4" w:space="0" w:color="auto"/>
              <w:bottom w:val="single" w:sz="4" w:space="0" w:color="auto"/>
            </w:tcBorders>
          </w:tcPr>
          <w:p w14:paraId="42C2DB07" w14:textId="77777777" w:rsidR="00987E2F" w:rsidRPr="00026458" w:rsidRDefault="00987E2F" w:rsidP="008E2FC2">
            <w:pPr>
              <w:pStyle w:val="Els-Abstract-head"/>
              <w:spacing w:before="120" w:after="120" w:line="276" w:lineRule="auto"/>
              <w:ind w:left="-101" w:right="-101"/>
              <w:rPr>
                <w:rFonts w:ascii="Sylfaen" w:hAnsi="Sylfaen"/>
                <w:bCs/>
                <w:smallCaps/>
                <w:sz w:val="22"/>
                <w:szCs w:val="22"/>
              </w:rPr>
            </w:pPr>
            <w:r w:rsidRPr="00026458">
              <w:rPr>
                <w:rFonts w:ascii="Sylfaen" w:hAnsi="Sylfaen"/>
                <w:bCs/>
                <w:smallCaps/>
                <w:sz w:val="22"/>
                <w:szCs w:val="22"/>
              </w:rPr>
              <w:t>A R T I C L E I N F O</w:t>
            </w:r>
          </w:p>
        </w:tc>
        <w:tc>
          <w:tcPr>
            <w:tcW w:w="116" w:type="pct"/>
            <w:tcBorders>
              <w:top w:val="single" w:sz="4" w:space="0" w:color="auto"/>
              <w:bottom w:val="nil"/>
            </w:tcBorders>
          </w:tcPr>
          <w:p w14:paraId="485962E0" w14:textId="77777777" w:rsidR="00987E2F" w:rsidRPr="00026458" w:rsidRDefault="00987E2F" w:rsidP="008E2FC2">
            <w:pPr>
              <w:spacing w:line="276" w:lineRule="auto"/>
              <w:ind w:left="-101" w:right="-101"/>
              <w:rPr>
                <w:rFonts w:ascii="Sylfaen" w:hAnsi="Sylfaen"/>
                <w:sz w:val="22"/>
                <w:szCs w:val="22"/>
              </w:rPr>
            </w:pPr>
          </w:p>
        </w:tc>
        <w:tc>
          <w:tcPr>
            <w:tcW w:w="3468" w:type="pct"/>
            <w:tcBorders>
              <w:top w:val="single" w:sz="4" w:space="0" w:color="auto"/>
              <w:bottom w:val="single" w:sz="4" w:space="0" w:color="auto"/>
            </w:tcBorders>
          </w:tcPr>
          <w:p w14:paraId="28330238" w14:textId="77777777" w:rsidR="00987E2F" w:rsidRPr="00026458" w:rsidRDefault="00987E2F" w:rsidP="008E2FC2">
            <w:pPr>
              <w:pStyle w:val="Els-Abstract-head"/>
              <w:spacing w:before="120" w:after="120" w:line="276" w:lineRule="auto"/>
              <w:ind w:left="-105"/>
              <w:rPr>
                <w:rFonts w:ascii="Sylfaen" w:hAnsi="Sylfaen"/>
                <w:bCs/>
                <w:smallCaps/>
                <w:sz w:val="22"/>
                <w:szCs w:val="22"/>
              </w:rPr>
            </w:pPr>
            <w:r w:rsidRPr="00026458">
              <w:rPr>
                <w:rFonts w:ascii="Sylfaen" w:hAnsi="Sylfaen"/>
                <w:bCs/>
                <w:smallCaps/>
                <w:sz w:val="22"/>
                <w:szCs w:val="22"/>
              </w:rPr>
              <w:t>A B S T R A C T</w:t>
            </w:r>
          </w:p>
        </w:tc>
      </w:tr>
      <w:tr w:rsidR="00321748" w:rsidRPr="00026458" w14:paraId="1125BB4D" w14:textId="77777777" w:rsidTr="00CE473E">
        <w:trPr>
          <w:trHeight w:val="872"/>
          <w:jc w:val="center"/>
        </w:trPr>
        <w:tc>
          <w:tcPr>
            <w:tcW w:w="1416" w:type="pct"/>
            <w:tcBorders>
              <w:top w:val="single" w:sz="4" w:space="0" w:color="auto"/>
              <w:bottom w:val="single" w:sz="4" w:space="0" w:color="auto"/>
            </w:tcBorders>
          </w:tcPr>
          <w:p w14:paraId="4CC5B46E" w14:textId="77777777" w:rsidR="00321748" w:rsidRPr="00026458" w:rsidRDefault="00321748" w:rsidP="008E2FC2">
            <w:pPr>
              <w:pStyle w:val="Els-history"/>
              <w:pBdr>
                <w:top w:val="none" w:sz="0" w:space="0" w:color="auto"/>
              </w:pBdr>
              <w:spacing w:before="120" w:line="276" w:lineRule="auto"/>
              <w:ind w:right="-101"/>
              <w:rPr>
                <w:rFonts w:ascii="Sylfaen" w:hAnsi="Sylfaen"/>
                <w:b/>
                <w:bCs/>
                <w:sz w:val="22"/>
                <w:szCs w:val="22"/>
              </w:rPr>
            </w:pPr>
            <w:r w:rsidRPr="00026458">
              <w:rPr>
                <w:rFonts w:ascii="Sylfaen" w:hAnsi="Sylfaen"/>
                <w:b/>
                <w:bCs/>
                <w:sz w:val="22"/>
                <w:szCs w:val="22"/>
              </w:rPr>
              <w:t>Article History:</w:t>
            </w:r>
          </w:p>
          <w:p w14:paraId="1E397F52" w14:textId="6B674480" w:rsidR="00AB279E" w:rsidRPr="00B8313F" w:rsidRDefault="00AB279E" w:rsidP="00AB279E">
            <w:pPr>
              <w:pStyle w:val="Els-history"/>
              <w:pBdr>
                <w:top w:val="none" w:sz="0" w:space="0" w:color="auto"/>
              </w:pBdr>
              <w:spacing w:before="120" w:line="276" w:lineRule="auto"/>
              <w:ind w:right="-101"/>
              <w:rPr>
                <w:rFonts w:ascii="Sylfaen" w:hAnsi="Sylfaen"/>
                <w:b/>
                <w:bCs/>
                <w:sz w:val="22"/>
                <w:szCs w:val="22"/>
              </w:rPr>
            </w:pPr>
            <w:r w:rsidRPr="00B8313F">
              <w:rPr>
                <w:rFonts w:ascii="Sylfaen" w:eastAsia="Calibri" w:hAnsi="Sylfaen"/>
                <w:sz w:val="22"/>
                <w:szCs w:val="22"/>
              </w:rPr>
              <w:t xml:space="preserve">Accepted : </w:t>
            </w:r>
            <w:r w:rsidR="0052605E">
              <w:rPr>
                <w:rFonts w:ascii="Sylfaen" w:eastAsia="Calibri" w:hAnsi="Sylfaen"/>
                <w:sz w:val="22"/>
                <w:szCs w:val="22"/>
              </w:rPr>
              <w:t>1</w:t>
            </w:r>
            <w:r w:rsidR="003C43B3">
              <w:rPr>
                <w:rFonts w:ascii="Sylfaen" w:eastAsia="Calibri" w:hAnsi="Sylfaen"/>
                <w:sz w:val="22"/>
                <w:szCs w:val="22"/>
              </w:rPr>
              <w:t>0</w:t>
            </w:r>
            <w:r w:rsidRPr="00B8313F">
              <w:rPr>
                <w:rFonts w:ascii="Sylfaen" w:eastAsia="Calibri" w:hAnsi="Sylfaen"/>
                <w:sz w:val="22"/>
                <w:szCs w:val="22"/>
              </w:rPr>
              <w:t xml:space="preserve"> </w:t>
            </w:r>
            <w:r w:rsidR="003C43B3">
              <w:rPr>
                <w:rFonts w:ascii="Sylfaen" w:eastAsia="Calibri" w:hAnsi="Sylfaen"/>
                <w:sz w:val="22"/>
                <w:szCs w:val="22"/>
              </w:rPr>
              <w:t>Jan</w:t>
            </w:r>
            <w:r w:rsidRPr="00B8313F">
              <w:rPr>
                <w:rFonts w:ascii="Sylfaen" w:eastAsia="Calibri" w:hAnsi="Sylfaen"/>
                <w:sz w:val="22"/>
                <w:szCs w:val="22"/>
              </w:rPr>
              <w:t xml:space="preserve"> 202</w:t>
            </w:r>
            <w:r>
              <w:rPr>
                <w:rFonts w:ascii="Sylfaen" w:eastAsia="Calibri" w:hAnsi="Sylfaen"/>
                <w:sz w:val="22"/>
                <w:szCs w:val="22"/>
              </w:rPr>
              <w:t>5</w:t>
            </w:r>
          </w:p>
          <w:p w14:paraId="1ED6298F" w14:textId="1290A19B" w:rsidR="00AB279E" w:rsidRPr="00B8313F" w:rsidRDefault="00AB279E" w:rsidP="00AB279E">
            <w:pPr>
              <w:pStyle w:val="Els-history"/>
              <w:pBdr>
                <w:top w:val="none" w:sz="0" w:space="0" w:color="auto"/>
              </w:pBdr>
              <w:spacing w:line="276" w:lineRule="auto"/>
              <w:ind w:right="-101"/>
              <w:rPr>
                <w:rFonts w:ascii="Sylfaen" w:eastAsia="Calibri" w:hAnsi="Sylfaen"/>
                <w:sz w:val="22"/>
                <w:szCs w:val="22"/>
              </w:rPr>
            </w:pPr>
            <w:r w:rsidRPr="00B8313F">
              <w:rPr>
                <w:rFonts w:ascii="Sylfaen" w:eastAsia="Calibri" w:hAnsi="Sylfaen"/>
                <w:sz w:val="22"/>
                <w:szCs w:val="22"/>
              </w:rPr>
              <w:t xml:space="preserve">Published: </w:t>
            </w:r>
            <w:r w:rsidR="0052605E">
              <w:rPr>
                <w:rFonts w:ascii="Sylfaen" w:eastAsia="Calibri" w:hAnsi="Sylfaen"/>
                <w:sz w:val="22"/>
                <w:szCs w:val="22"/>
              </w:rPr>
              <w:t>18</w:t>
            </w:r>
            <w:r w:rsidRPr="00B8313F">
              <w:rPr>
                <w:rFonts w:ascii="Sylfaen" w:eastAsia="Calibri" w:hAnsi="Sylfaen"/>
                <w:sz w:val="22"/>
                <w:szCs w:val="22"/>
              </w:rPr>
              <w:t xml:space="preserve"> </w:t>
            </w:r>
            <w:r w:rsidR="003C43B3">
              <w:rPr>
                <w:rFonts w:ascii="Sylfaen" w:eastAsia="Calibri" w:hAnsi="Sylfaen"/>
                <w:sz w:val="22"/>
                <w:szCs w:val="22"/>
              </w:rPr>
              <w:t>Jan</w:t>
            </w:r>
            <w:r w:rsidRPr="00B8313F">
              <w:rPr>
                <w:rFonts w:ascii="Sylfaen" w:eastAsia="Calibri" w:hAnsi="Sylfaen"/>
                <w:sz w:val="22"/>
                <w:szCs w:val="22"/>
              </w:rPr>
              <w:t xml:space="preserve"> 202</w:t>
            </w:r>
            <w:r>
              <w:rPr>
                <w:rFonts w:ascii="Sylfaen" w:eastAsia="Calibri" w:hAnsi="Sylfaen"/>
                <w:sz w:val="22"/>
                <w:szCs w:val="22"/>
              </w:rPr>
              <w:t>5</w:t>
            </w:r>
          </w:p>
          <w:p w14:paraId="3ED3B8AA" w14:textId="13FAF945" w:rsidR="00321748" w:rsidRPr="00124ED2" w:rsidRDefault="00321748" w:rsidP="008E2FC2">
            <w:pPr>
              <w:autoSpaceDE w:val="0"/>
              <w:autoSpaceDN w:val="0"/>
              <w:adjustRightInd w:val="0"/>
              <w:spacing w:line="276" w:lineRule="auto"/>
              <w:jc w:val="both"/>
              <w:rPr>
                <w:rFonts w:ascii="Sylfaen" w:eastAsia="Calibri" w:hAnsi="Sylfaen"/>
                <w:sz w:val="22"/>
                <w:szCs w:val="22"/>
              </w:rPr>
            </w:pPr>
          </w:p>
        </w:tc>
        <w:tc>
          <w:tcPr>
            <w:tcW w:w="116" w:type="pct"/>
            <w:vMerge w:val="restart"/>
            <w:tcBorders>
              <w:top w:val="nil"/>
            </w:tcBorders>
          </w:tcPr>
          <w:p w14:paraId="5B603470" w14:textId="77777777" w:rsidR="00321748" w:rsidRPr="00026458" w:rsidRDefault="00321748" w:rsidP="008E2FC2">
            <w:pPr>
              <w:spacing w:line="276" w:lineRule="auto"/>
              <w:ind w:left="-101" w:right="-101"/>
              <w:rPr>
                <w:rFonts w:ascii="Sylfaen" w:hAnsi="Sylfaen"/>
                <w:sz w:val="22"/>
                <w:szCs w:val="22"/>
              </w:rPr>
            </w:pPr>
          </w:p>
        </w:tc>
        <w:tc>
          <w:tcPr>
            <w:tcW w:w="3468" w:type="pct"/>
            <w:vMerge w:val="restart"/>
            <w:tcBorders>
              <w:top w:val="single" w:sz="4" w:space="0" w:color="auto"/>
            </w:tcBorders>
          </w:tcPr>
          <w:p w14:paraId="0476A129" w14:textId="77777777" w:rsidR="00851950" w:rsidRPr="00851950" w:rsidRDefault="00851950" w:rsidP="00851950">
            <w:pPr>
              <w:spacing w:line="276" w:lineRule="auto"/>
              <w:jc w:val="both"/>
              <w:rPr>
                <w:rFonts w:ascii="Sylfaen" w:hAnsi="Sylfaen" w:cstheme="majorBidi"/>
                <w:sz w:val="22"/>
                <w:szCs w:val="22"/>
              </w:rPr>
            </w:pPr>
            <w:r w:rsidRPr="00851950">
              <w:rPr>
                <w:rFonts w:ascii="Sylfaen" w:hAnsi="Sylfaen" w:cstheme="majorBidi"/>
                <w:sz w:val="22"/>
                <w:szCs w:val="22"/>
              </w:rPr>
              <w:t>The expansion of digital payment technologies has ushered in transformative benefits for global commerce but has also introduced complex security, usability, and regulatory challenges. This research builds upon existing security frameworks by addressing significant gaps in real-world implementation, inclusive design, quantum readiness, and policy adaptation. Through a multi-dimensional analysis, the study investigates the disconnect between theoretical frameworks and production-scale deployments, especially in diverse market environments with infrastructure constraints. It emphasizes the importance of human-centered design in authentication systems, explores insider threat mitigation strategies, and introduces proactive security models including role-based controls and Zero Trust Architecture. Finally, the paper offers actionable strategies for scaling secure digital payment infrastructures while maintaining usability, compliance, and future-proofing against emerging technological risks. The findings aim to guide software developers, financial institutions, and policymakers in building resilient, inclusive, and regulation-aware payment systems for the next decade.</w:t>
            </w:r>
          </w:p>
          <w:p w14:paraId="61659583" w14:textId="5611476F" w:rsidR="00321748" w:rsidRPr="00026458" w:rsidRDefault="00851950" w:rsidP="00851950">
            <w:pPr>
              <w:spacing w:line="276" w:lineRule="auto"/>
              <w:jc w:val="both"/>
              <w:rPr>
                <w:rFonts w:ascii="Sylfaen" w:hAnsi="Sylfaen"/>
                <w:color w:val="000000"/>
                <w:sz w:val="22"/>
                <w:szCs w:val="22"/>
              </w:rPr>
            </w:pPr>
            <w:r w:rsidRPr="00851950">
              <w:rPr>
                <w:rFonts w:ascii="Sylfaen" w:hAnsi="Sylfaen" w:cstheme="majorBidi"/>
                <w:b/>
                <w:bCs/>
                <w:sz w:val="22"/>
                <w:szCs w:val="22"/>
              </w:rPr>
              <w:t>Keywords :</w:t>
            </w:r>
            <w:r w:rsidRPr="00851950">
              <w:rPr>
                <w:rFonts w:ascii="Sylfaen" w:hAnsi="Sylfaen" w:cstheme="majorBidi"/>
                <w:sz w:val="22"/>
                <w:szCs w:val="22"/>
              </w:rPr>
              <w:t xml:space="preserve"> Smart Payment Security, Inclusive Digital Finance, Insider Threat Mitigation, Multi-Factor Authentication (MFA), Post-Quantum Cryptography, Zero Trust Architecture, Usability and Accessibility in FinTech</w:t>
            </w:r>
          </w:p>
        </w:tc>
      </w:tr>
      <w:tr w:rsidR="00321748" w:rsidRPr="00026458" w14:paraId="5D3B7F5E" w14:textId="77777777" w:rsidTr="00CE473E">
        <w:trPr>
          <w:trHeight w:val="1305"/>
          <w:jc w:val="center"/>
        </w:trPr>
        <w:tc>
          <w:tcPr>
            <w:tcW w:w="1416" w:type="pct"/>
            <w:tcBorders>
              <w:top w:val="single" w:sz="4" w:space="0" w:color="auto"/>
              <w:bottom w:val="single" w:sz="4" w:space="0" w:color="auto"/>
            </w:tcBorders>
          </w:tcPr>
          <w:p w14:paraId="6F8F4459" w14:textId="77777777" w:rsidR="00321748" w:rsidRPr="00026458" w:rsidRDefault="00321748" w:rsidP="00321748">
            <w:pPr>
              <w:autoSpaceDE w:val="0"/>
              <w:autoSpaceDN w:val="0"/>
              <w:adjustRightInd w:val="0"/>
              <w:spacing w:line="276" w:lineRule="auto"/>
              <w:jc w:val="both"/>
              <w:rPr>
                <w:rFonts w:ascii="Sylfaen" w:eastAsia="Calibri" w:hAnsi="Sylfaen"/>
                <w:b/>
                <w:bCs/>
                <w:sz w:val="22"/>
                <w:szCs w:val="22"/>
                <w:lang w:val="en-US" w:eastAsia="en-US"/>
              </w:rPr>
            </w:pPr>
          </w:p>
          <w:p w14:paraId="663E0031" w14:textId="77777777" w:rsidR="00321748" w:rsidRPr="00026458" w:rsidRDefault="00321748" w:rsidP="00321748">
            <w:pPr>
              <w:autoSpaceDE w:val="0"/>
              <w:autoSpaceDN w:val="0"/>
              <w:adjustRightInd w:val="0"/>
              <w:spacing w:line="276" w:lineRule="auto"/>
              <w:jc w:val="both"/>
              <w:rPr>
                <w:rFonts w:ascii="Sylfaen" w:eastAsia="Calibri" w:hAnsi="Sylfaen"/>
                <w:b/>
                <w:bCs/>
                <w:sz w:val="22"/>
                <w:szCs w:val="22"/>
                <w:lang w:val="en-US" w:eastAsia="en-US"/>
              </w:rPr>
            </w:pPr>
            <w:r w:rsidRPr="00026458">
              <w:rPr>
                <w:rFonts w:ascii="Sylfaen" w:eastAsia="Calibri" w:hAnsi="Sylfaen"/>
                <w:b/>
                <w:bCs/>
                <w:sz w:val="22"/>
                <w:szCs w:val="22"/>
                <w:lang w:val="en-US" w:eastAsia="en-US"/>
              </w:rPr>
              <w:t>Publication Issue :</w:t>
            </w:r>
          </w:p>
          <w:p w14:paraId="739A4D5C" w14:textId="4753F68F" w:rsidR="00321748" w:rsidRPr="00026458" w:rsidRDefault="00321748" w:rsidP="00321748">
            <w:pPr>
              <w:autoSpaceDE w:val="0"/>
              <w:autoSpaceDN w:val="0"/>
              <w:adjustRightInd w:val="0"/>
              <w:spacing w:line="276" w:lineRule="auto"/>
              <w:jc w:val="both"/>
              <w:rPr>
                <w:rFonts w:ascii="Sylfaen" w:eastAsia="Calibri" w:hAnsi="Sylfaen"/>
                <w:sz w:val="22"/>
                <w:szCs w:val="22"/>
                <w:lang w:val="en-US" w:eastAsia="en-US"/>
              </w:rPr>
            </w:pPr>
            <w:r w:rsidRPr="00026458">
              <w:rPr>
                <w:rFonts w:ascii="Sylfaen" w:eastAsia="Calibri" w:hAnsi="Sylfaen"/>
                <w:sz w:val="22"/>
                <w:szCs w:val="22"/>
                <w:lang w:val="en-US" w:eastAsia="en-US"/>
              </w:rPr>
              <w:t>Volume 1</w:t>
            </w:r>
            <w:r w:rsidR="00AB279E">
              <w:rPr>
                <w:rFonts w:ascii="Sylfaen" w:eastAsia="Calibri" w:hAnsi="Sylfaen"/>
                <w:sz w:val="22"/>
                <w:szCs w:val="22"/>
                <w:lang w:val="en-US" w:eastAsia="en-US"/>
              </w:rPr>
              <w:t>2</w:t>
            </w:r>
            <w:r w:rsidRPr="00026458">
              <w:rPr>
                <w:rFonts w:ascii="Sylfaen" w:eastAsia="Calibri" w:hAnsi="Sylfaen"/>
                <w:sz w:val="22"/>
                <w:szCs w:val="22"/>
                <w:lang w:val="en-US" w:eastAsia="en-US"/>
              </w:rPr>
              <w:t xml:space="preserve">, Issue </w:t>
            </w:r>
            <w:r w:rsidR="00AB279E">
              <w:rPr>
                <w:rFonts w:ascii="Sylfaen" w:eastAsia="Calibri" w:hAnsi="Sylfaen"/>
                <w:sz w:val="22"/>
                <w:szCs w:val="22"/>
                <w:lang w:val="en-US" w:eastAsia="en-US"/>
              </w:rPr>
              <w:t>1</w:t>
            </w:r>
          </w:p>
          <w:p w14:paraId="558EF358" w14:textId="77777777" w:rsidR="00AB279E" w:rsidRPr="00B8313F" w:rsidRDefault="00AB279E" w:rsidP="00AB279E">
            <w:pPr>
              <w:autoSpaceDE w:val="0"/>
              <w:autoSpaceDN w:val="0"/>
              <w:adjustRightInd w:val="0"/>
              <w:spacing w:line="276" w:lineRule="auto"/>
              <w:jc w:val="both"/>
              <w:rPr>
                <w:rFonts w:ascii="Sylfaen" w:eastAsia="Calibri" w:hAnsi="Sylfaen"/>
                <w:sz w:val="22"/>
                <w:szCs w:val="22"/>
                <w:lang w:val="en-US" w:eastAsia="en-US"/>
              </w:rPr>
            </w:pPr>
            <w:r w:rsidRPr="00935ED5">
              <w:rPr>
                <w:rFonts w:ascii="Sylfaen" w:eastAsia="Calibri" w:hAnsi="Sylfaen"/>
                <w:sz w:val="22"/>
                <w:szCs w:val="22"/>
                <w:lang w:val="en-US" w:eastAsia="en-US"/>
              </w:rPr>
              <w:t>January-February</w:t>
            </w:r>
            <w:r w:rsidRPr="00B8313F">
              <w:rPr>
                <w:rFonts w:ascii="Sylfaen" w:eastAsia="Calibri" w:hAnsi="Sylfaen"/>
                <w:sz w:val="22"/>
                <w:szCs w:val="22"/>
                <w:lang w:val="en-US" w:eastAsia="en-US"/>
              </w:rPr>
              <w:t>-202</w:t>
            </w:r>
            <w:r>
              <w:rPr>
                <w:rFonts w:ascii="Sylfaen" w:eastAsia="Calibri" w:hAnsi="Sylfaen"/>
                <w:sz w:val="22"/>
                <w:szCs w:val="22"/>
                <w:lang w:val="en-US" w:eastAsia="en-US"/>
              </w:rPr>
              <w:t>5</w:t>
            </w:r>
          </w:p>
          <w:p w14:paraId="16C9B001" w14:textId="77777777" w:rsidR="00AB279E" w:rsidRDefault="00AB279E" w:rsidP="00321748">
            <w:pPr>
              <w:autoSpaceDE w:val="0"/>
              <w:autoSpaceDN w:val="0"/>
              <w:adjustRightInd w:val="0"/>
              <w:spacing w:line="276" w:lineRule="auto"/>
              <w:jc w:val="both"/>
              <w:rPr>
                <w:rFonts w:ascii="Sylfaen" w:eastAsia="Calibri" w:hAnsi="Sylfaen"/>
                <w:b/>
                <w:bCs/>
                <w:sz w:val="22"/>
                <w:szCs w:val="22"/>
                <w:lang w:val="en-US" w:eastAsia="en-US"/>
              </w:rPr>
            </w:pPr>
          </w:p>
          <w:p w14:paraId="6D703ED3" w14:textId="7B26B3B9" w:rsidR="00321748" w:rsidRPr="00026458" w:rsidRDefault="00321748" w:rsidP="00321748">
            <w:pPr>
              <w:autoSpaceDE w:val="0"/>
              <w:autoSpaceDN w:val="0"/>
              <w:adjustRightInd w:val="0"/>
              <w:spacing w:line="276" w:lineRule="auto"/>
              <w:jc w:val="both"/>
              <w:rPr>
                <w:rFonts w:ascii="Sylfaen" w:eastAsia="Calibri" w:hAnsi="Sylfaen"/>
                <w:b/>
                <w:bCs/>
                <w:sz w:val="22"/>
                <w:szCs w:val="22"/>
                <w:lang w:val="en-US" w:eastAsia="en-US"/>
              </w:rPr>
            </w:pPr>
            <w:r w:rsidRPr="00026458">
              <w:rPr>
                <w:rFonts w:ascii="Sylfaen" w:eastAsia="Calibri" w:hAnsi="Sylfaen"/>
                <w:b/>
                <w:bCs/>
                <w:sz w:val="22"/>
                <w:szCs w:val="22"/>
                <w:lang w:val="en-US" w:eastAsia="en-US"/>
              </w:rPr>
              <w:t>Page Number :</w:t>
            </w:r>
          </w:p>
          <w:p w14:paraId="0627239F" w14:textId="642E7402" w:rsidR="00321748" w:rsidRPr="00026458" w:rsidRDefault="002303DC" w:rsidP="00321748">
            <w:pPr>
              <w:spacing w:line="276" w:lineRule="auto"/>
              <w:rPr>
                <w:rFonts w:ascii="Sylfaen" w:hAnsi="Sylfaen"/>
                <w:sz w:val="22"/>
                <w:szCs w:val="22"/>
                <w:lang w:val="en-US"/>
              </w:rPr>
            </w:pPr>
            <w:r w:rsidRPr="002303DC">
              <w:rPr>
                <w:rFonts w:ascii="Sylfaen" w:eastAsia="Calibri" w:hAnsi="Sylfaen"/>
                <w:sz w:val="22"/>
                <w:szCs w:val="22"/>
                <w:lang w:val="en-US" w:eastAsia="en-US"/>
              </w:rPr>
              <w:t>294-307</w:t>
            </w:r>
          </w:p>
        </w:tc>
        <w:tc>
          <w:tcPr>
            <w:tcW w:w="116" w:type="pct"/>
            <w:vMerge/>
            <w:tcBorders>
              <w:bottom w:val="single" w:sz="4" w:space="0" w:color="auto"/>
            </w:tcBorders>
          </w:tcPr>
          <w:p w14:paraId="268E497B" w14:textId="77777777" w:rsidR="00321748" w:rsidRPr="00026458" w:rsidRDefault="00321748" w:rsidP="00321748">
            <w:pPr>
              <w:spacing w:line="276" w:lineRule="auto"/>
              <w:rPr>
                <w:rFonts w:ascii="Sylfaen" w:hAnsi="Sylfaen"/>
                <w:sz w:val="22"/>
                <w:szCs w:val="22"/>
              </w:rPr>
            </w:pPr>
          </w:p>
        </w:tc>
        <w:tc>
          <w:tcPr>
            <w:tcW w:w="3468" w:type="pct"/>
            <w:vMerge/>
            <w:tcBorders>
              <w:bottom w:val="single" w:sz="4" w:space="0" w:color="auto"/>
            </w:tcBorders>
          </w:tcPr>
          <w:p w14:paraId="3BA5A86F" w14:textId="77777777" w:rsidR="00321748" w:rsidRPr="00026458" w:rsidRDefault="00321748" w:rsidP="00321748">
            <w:pPr>
              <w:pStyle w:val="Els-Abstract-head"/>
              <w:spacing w:before="120" w:after="120" w:line="276" w:lineRule="auto"/>
              <w:rPr>
                <w:rFonts w:ascii="Sylfaen" w:hAnsi="Sylfaen"/>
                <w:b w:val="0"/>
                <w:bCs/>
                <w:sz w:val="22"/>
                <w:szCs w:val="22"/>
              </w:rPr>
            </w:pPr>
          </w:p>
        </w:tc>
      </w:tr>
    </w:tbl>
    <w:p w14:paraId="4E921935" w14:textId="77777777" w:rsidR="001B7A61" w:rsidRPr="00026458" w:rsidRDefault="001B7A61" w:rsidP="00F024E6">
      <w:pPr>
        <w:spacing w:line="276" w:lineRule="auto"/>
        <w:rPr>
          <w:rFonts w:ascii="Sylfaen" w:hAnsi="Sylfaen"/>
          <w:sz w:val="22"/>
          <w:szCs w:val="22"/>
        </w:rPr>
      </w:pPr>
    </w:p>
    <w:p w14:paraId="55DDDAD9" w14:textId="77777777" w:rsidR="004C4B1C" w:rsidRPr="00026458" w:rsidRDefault="004C4B1C" w:rsidP="00F024E6">
      <w:pPr>
        <w:spacing w:line="276" w:lineRule="auto"/>
        <w:rPr>
          <w:rFonts w:ascii="Sylfaen" w:hAnsi="Sylfaen"/>
          <w:sz w:val="22"/>
          <w:szCs w:val="22"/>
        </w:rPr>
        <w:sectPr w:rsidR="004C4B1C" w:rsidRPr="00026458" w:rsidSect="006E3690">
          <w:headerReference w:type="even" r:id="rId8"/>
          <w:headerReference w:type="default" r:id="rId9"/>
          <w:footerReference w:type="even" r:id="rId10"/>
          <w:footerReference w:type="default" r:id="rId11"/>
          <w:headerReference w:type="first" r:id="rId12"/>
          <w:footerReference w:type="first" r:id="rId13"/>
          <w:pgSz w:w="11906" w:h="16838" w:code="9"/>
          <w:pgMar w:top="1077" w:right="811" w:bottom="2438" w:left="811" w:header="709" w:footer="720" w:gutter="0"/>
          <w:pgNumType w:start="290"/>
          <w:cols w:space="708"/>
          <w:titlePg/>
          <w:docGrid w:linePitch="360"/>
        </w:sectPr>
      </w:pPr>
    </w:p>
    <w:p w14:paraId="747E13A7" w14:textId="77777777" w:rsidR="008839CB" w:rsidRPr="007D5FE6" w:rsidRDefault="008839CB" w:rsidP="007D5FE6">
      <w:pPr>
        <w:pStyle w:val="Heading3"/>
        <w:keepNext w:val="0"/>
        <w:numPr>
          <w:ilvl w:val="0"/>
          <w:numId w:val="0"/>
        </w:numPr>
        <w:tabs>
          <w:tab w:val="clear" w:pos="360"/>
          <w:tab w:val="clear" w:pos="432"/>
        </w:tabs>
        <w:spacing w:before="0" w:after="0" w:line="276" w:lineRule="auto"/>
        <w:jc w:val="both"/>
        <w:rPr>
          <w:rFonts w:ascii="Sylfaen" w:hAnsi="Sylfaen"/>
          <w:b w:val="0"/>
          <w:color w:val="000000"/>
          <w:sz w:val="22"/>
          <w:szCs w:val="22"/>
        </w:rPr>
      </w:pPr>
      <w:r w:rsidRPr="007D5FE6">
        <w:rPr>
          <w:rFonts w:ascii="Sylfaen" w:hAnsi="Sylfaen"/>
          <w:color w:val="000000"/>
          <w:sz w:val="22"/>
          <w:szCs w:val="22"/>
        </w:rPr>
        <w:t>1. Introduction and Motivation</w:t>
      </w:r>
    </w:p>
    <w:p w14:paraId="23C4DC0A" w14:textId="77777777" w:rsidR="008839CB" w:rsidRPr="007D5FE6" w:rsidRDefault="008839CB" w:rsidP="007D5FE6">
      <w:pPr>
        <w:spacing w:line="276" w:lineRule="auto"/>
        <w:jc w:val="both"/>
        <w:rPr>
          <w:rFonts w:ascii="Sylfaen" w:hAnsi="Sylfaen"/>
          <w:sz w:val="22"/>
          <w:szCs w:val="22"/>
        </w:rPr>
      </w:pPr>
      <w:r w:rsidRPr="007D5FE6">
        <w:rPr>
          <w:rFonts w:ascii="Sylfaen" w:hAnsi="Sylfaen"/>
          <w:sz w:val="22"/>
          <w:szCs w:val="22"/>
        </w:rPr>
        <w:t xml:space="preserve">As digital payment systems continue to replace traditional modes of financial exchange, the security of these systems has become a matter of global significance. The rise of mobile wallets, contactless cards, open banking APIs, and cross-border payment platforms has unlocked unprecedented convenience but also exposed users and institutions to a growing </w:t>
      </w:r>
      <w:r w:rsidRPr="007D5FE6">
        <w:rPr>
          <w:rFonts w:ascii="Sylfaen" w:hAnsi="Sylfaen"/>
          <w:sz w:val="22"/>
          <w:szCs w:val="22"/>
        </w:rPr>
        <w:t xml:space="preserve">array of cyber threats. While previous research has contributed significantly to defining technical controls such as encryption, multi-factor authentication, and secure coding practices, the evolving threat landscape demands an expanded perspective—one that accounts for human factors, geographic disparities, emerging quantum threats, and policy-level inconsistencies. The traditional </w:t>
      </w:r>
      <w:r w:rsidRPr="007D5FE6">
        <w:rPr>
          <w:rFonts w:ascii="Sylfaen" w:hAnsi="Sylfaen"/>
          <w:sz w:val="22"/>
          <w:szCs w:val="22"/>
        </w:rPr>
        <w:lastRenderedPageBreak/>
        <w:t>boundaries of cybersecurity in payment systems are being redrawn, not only by attackers employing increasingly sophisticated tactics but also by the rapid evolution of technology itself. In this context, it is no longer sufficient to build static, compliance-driven security frameworks. Instead, a broader and more adaptive security narrative must be embraced—one that is inclusive, forward-looking, and sensitive to real-world implementation challenges.</w:t>
      </w:r>
    </w:p>
    <w:p w14:paraId="523A348A" w14:textId="624AA3AE" w:rsidR="008839CB" w:rsidRPr="007D5FE6" w:rsidRDefault="008839CB" w:rsidP="007D5FE6">
      <w:pPr>
        <w:pStyle w:val="Heading4"/>
        <w:keepNext w:val="0"/>
        <w:spacing w:before="0" w:after="0" w:line="276" w:lineRule="auto"/>
        <w:ind w:left="0" w:firstLine="0"/>
        <w:jc w:val="both"/>
        <w:rPr>
          <w:rFonts w:ascii="Sylfaen" w:hAnsi="Sylfaen"/>
          <w:b/>
          <w:color w:val="000000"/>
          <w:sz w:val="22"/>
          <w:szCs w:val="22"/>
        </w:rPr>
      </w:pPr>
      <w:bookmarkStart w:id="0" w:name="_ggtptgvmikr8" w:colFirst="0" w:colLast="0"/>
      <w:bookmarkEnd w:id="0"/>
      <w:r w:rsidRPr="007D5FE6">
        <w:rPr>
          <w:rFonts w:ascii="Sylfaen" w:hAnsi="Sylfaen"/>
          <w:b/>
          <w:color w:val="000000"/>
          <w:sz w:val="22"/>
          <w:szCs w:val="22"/>
        </w:rPr>
        <w:t>Expanding the Security Narrative in Digital Payments</w:t>
      </w:r>
    </w:p>
    <w:p w14:paraId="1DFE61DC" w14:textId="77777777" w:rsidR="008839CB" w:rsidRPr="007D5FE6" w:rsidRDefault="008839CB" w:rsidP="007D5FE6">
      <w:pPr>
        <w:spacing w:line="276" w:lineRule="auto"/>
        <w:jc w:val="both"/>
        <w:rPr>
          <w:rFonts w:ascii="Sylfaen" w:hAnsi="Sylfaen"/>
          <w:sz w:val="22"/>
          <w:szCs w:val="22"/>
        </w:rPr>
      </w:pPr>
      <w:r w:rsidRPr="007D5FE6">
        <w:rPr>
          <w:rFonts w:ascii="Sylfaen" w:hAnsi="Sylfaen"/>
          <w:sz w:val="22"/>
          <w:szCs w:val="22"/>
        </w:rPr>
        <w:t>The conventional approach to payment security has typically revolved around enforcing regulatory compliance and applying best practices in encryption and access control. However, recent developments highlight the limitations of this narrow focus. For instance, while many systems meet compliance with frameworks like PCI DSS or GDPR, breaches still occur due to insider threats, poorly integrated third-party services, or usability flaws that lead users to bypass security features. Moreover, the global expansion of financial technologies into developing regions introduces unique challenges such as inconsistent connectivity, lower digital literacy, and a lack of localized regulations. Additionally, threats such as quantum computing and AI-enhanced fraud are no longer hypothetical—they are accelerating toward operational relevance. Therefore, there is a pressing need to broaden the security narrative to include adaptive frameworks that consider behavioral factors, socio-economic diversity, and the interplay between security and usability. This expanded view must treat developers, users, and policy-makers as co-stakeholders in a continuously evolving digital finance ecosystem.</w:t>
      </w:r>
    </w:p>
    <w:p w14:paraId="42FCF297" w14:textId="28F2E7F1" w:rsidR="008839CB" w:rsidRPr="007D5FE6" w:rsidRDefault="008839CB" w:rsidP="007D5FE6">
      <w:pPr>
        <w:pStyle w:val="Heading4"/>
        <w:keepNext w:val="0"/>
        <w:spacing w:before="0" w:after="0" w:line="276" w:lineRule="auto"/>
        <w:ind w:left="0" w:firstLine="0"/>
        <w:jc w:val="both"/>
        <w:rPr>
          <w:rFonts w:ascii="Sylfaen" w:hAnsi="Sylfaen"/>
          <w:b/>
          <w:color w:val="000000"/>
          <w:sz w:val="22"/>
          <w:szCs w:val="22"/>
        </w:rPr>
      </w:pPr>
      <w:bookmarkStart w:id="1" w:name="_wb2rxitjy2qh" w:colFirst="0" w:colLast="0"/>
      <w:bookmarkEnd w:id="1"/>
      <w:r w:rsidRPr="007D5FE6">
        <w:rPr>
          <w:rFonts w:ascii="Sylfaen" w:hAnsi="Sylfaen"/>
          <w:b/>
          <w:color w:val="000000"/>
          <w:sz w:val="22"/>
          <w:szCs w:val="22"/>
        </w:rPr>
        <w:t>Purpose of the Extended Study</w:t>
      </w:r>
    </w:p>
    <w:p w14:paraId="7CF35123" w14:textId="77777777" w:rsidR="008839CB" w:rsidRPr="007D5FE6" w:rsidRDefault="008839CB" w:rsidP="007D5FE6">
      <w:pPr>
        <w:spacing w:line="276" w:lineRule="auto"/>
        <w:jc w:val="both"/>
        <w:rPr>
          <w:rFonts w:ascii="Sylfaen" w:hAnsi="Sylfaen"/>
          <w:sz w:val="22"/>
          <w:szCs w:val="22"/>
        </w:rPr>
      </w:pPr>
      <w:r w:rsidRPr="007D5FE6">
        <w:rPr>
          <w:rFonts w:ascii="Sylfaen" w:hAnsi="Sylfaen"/>
          <w:sz w:val="22"/>
          <w:szCs w:val="22"/>
        </w:rPr>
        <w:t xml:space="preserve">The primary goal of this extended study is to address critical research gaps identified in earlier frameworks for smart payment security. While past models have laid foundational principles, they often lack validation in large-scale, real-world environments and seldom account for diverse operational contexts. This paper </w:t>
      </w:r>
      <w:r w:rsidRPr="007D5FE6">
        <w:rPr>
          <w:rFonts w:ascii="Sylfaen" w:hAnsi="Sylfaen"/>
          <w:sz w:val="22"/>
          <w:szCs w:val="22"/>
        </w:rPr>
        <w:t>aims to bridge those gaps by introducing a more comprehensive and multidimensional framework. It explores areas traditionally underrepresented in the security discourse, such as user accessibility in authentication mechanisms, the role of insider threats, scalability concerns for small-to-medium enterprises, and the rising impact of post-quantum cryptography. Additionally, this study emphasizes the challenges of integrating next-generation security solutions with legacy banking infrastructure and presents actionable strategies to harmonize security controls across jurisdictions with conflicting regulatory standards. By addressing these layers of complexity, the study seeks to equip developers, financial service providers, and policy architects with a framework that is not only technically robust but also context-aware, economically scalable, and future-proof.</w:t>
      </w:r>
    </w:p>
    <w:p w14:paraId="1D7C9418" w14:textId="0BD3202A" w:rsidR="008839CB" w:rsidRPr="007D5FE6" w:rsidRDefault="008839CB" w:rsidP="007D5FE6">
      <w:pPr>
        <w:pStyle w:val="Heading4"/>
        <w:keepNext w:val="0"/>
        <w:spacing w:before="0" w:after="0" w:line="276" w:lineRule="auto"/>
        <w:ind w:left="0" w:firstLine="0"/>
        <w:jc w:val="both"/>
        <w:rPr>
          <w:rFonts w:ascii="Sylfaen" w:hAnsi="Sylfaen"/>
          <w:b/>
          <w:color w:val="000000"/>
          <w:sz w:val="22"/>
          <w:szCs w:val="22"/>
        </w:rPr>
      </w:pPr>
      <w:bookmarkStart w:id="2" w:name="_qmsgt556tkff" w:colFirst="0" w:colLast="0"/>
      <w:bookmarkEnd w:id="2"/>
      <w:r w:rsidRPr="007D5FE6">
        <w:rPr>
          <w:rFonts w:ascii="Sylfaen" w:hAnsi="Sylfaen"/>
          <w:b/>
          <w:color w:val="000000"/>
          <w:sz w:val="22"/>
          <w:szCs w:val="22"/>
        </w:rPr>
        <w:t>Structure of the Paper</w:t>
      </w:r>
    </w:p>
    <w:p w14:paraId="4F4A113E" w14:textId="77777777" w:rsidR="008839CB" w:rsidRPr="007D5FE6" w:rsidRDefault="008839CB" w:rsidP="007D5FE6">
      <w:pPr>
        <w:spacing w:line="276" w:lineRule="auto"/>
        <w:jc w:val="both"/>
        <w:rPr>
          <w:rFonts w:ascii="Sylfaen" w:hAnsi="Sylfaen"/>
          <w:sz w:val="22"/>
          <w:szCs w:val="22"/>
        </w:rPr>
      </w:pPr>
      <w:r w:rsidRPr="007D5FE6">
        <w:rPr>
          <w:rFonts w:ascii="Sylfaen" w:hAnsi="Sylfaen"/>
          <w:sz w:val="22"/>
          <w:szCs w:val="22"/>
        </w:rPr>
        <w:t xml:space="preserve">To deliver a cohesive and thorough analysis, the paper is organized into ten primary sections. Following this introduction, Section 2 provides empirical insights into the deployment challenges of security frameworks in real-world payment environments. Section 3 examines the necessity for geographic and economic contextualization, especially for underserved and emerging markets. Section 4 delves into human-centered design, exploring how usability and accessibility intersect with security. Section 5 turns inward to assess internal threats and the role of insider actors in payment fraud and breaches. Section 6 evaluates quantum computing risks and the urgent need for quantum-resistant cryptographic measures. Section 7 explores the compatibility and integration of modern security mechanisms with legacy systems still prevalent in many financial institutions. Section 8 introduces practical considerations for cost, scalability, and resource optimization. Section 9 investigates the complex landscape of regulatory compliance across borders, proposing solutions for dynamic policy-aware systems. Finally, Section 10 synthesizes the key </w:t>
      </w:r>
      <w:r w:rsidRPr="007D5FE6">
        <w:rPr>
          <w:rFonts w:ascii="Sylfaen" w:hAnsi="Sylfaen"/>
          <w:sz w:val="22"/>
          <w:szCs w:val="22"/>
        </w:rPr>
        <w:lastRenderedPageBreak/>
        <w:t>takeaways and offers forward-looking recommendations for researchers, developers, and policymakers. This structure ensures a layered, holistic exploration of secure smart payment systems in the face of 21st-century challenges.</w:t>
      </w:r>
    </w:p>
    <w:p w14:paraId="67845E06" w14:textId="77777777" w:rsidR="008839CB" w:rsidRPr="007D5FE6" w:rsidRDefault="008839CB" w:rsidP="007D5FE6">
      <w:pPr>
        <w:pStyle w:val="Heading3"/>
        <w:keepNext w:val="0"/>
        <w:numPr>
          <w:ilvl w:val="0"/>
          <w:numId w:val="0"/>
        </w:numPr>
        <w:tabs>
          <w:tab w:val="clear" w:pos="360"/>
          <w:tab w:val="clear" w:pos="432"/>
        </w:tabs>
        <w:spacing w:before="0" w:after="0" w:line="276" w:lineRule="auto"/>
        <w:jc w:val="both"/>
        <w:rPr>
          <w:rFonts w:ascii="Sylfaen" w:hAnsi="Sylfaen"/>
          <w:b w:val="0"/>
          <w:color w:val="000000"/>
          <w:sz w:val="22"/>
          <w:szCs w:val="22"/>
        </w:rPr>
      </w:pPr>
      <w:bookmarkStart w:id="3" w:name="_b84ev1gfpm70" w:colFirst="0" w:colLast="0"/>
      <w:bookmarkEnd w:id="3"/>
      <w:r w:rsidRPr="007D5FE6">
        <w:rPr>
          <w:rFonts w:ascii="Sylfaen" w:hAnsi="Sylfaen"/>
          <w:color w:val="000000"/>
          <w:sz w:val="22"/>
          <w:szCs w:val="22"/>
        </w:rPr>
        <w:t>2. Evaluating Real-World Security Framework Deployments</w:t>
      </w:r>
    </w:p>
    <w:p w14:paraId="5C17F899" w14:textId="77777777" w:rsidR="008839CB" w:rsidRPr="007D5FE6" w:rsidRDefault="008839CB" w:rsidP="007D5FE6">
      <w:pPr>
        <w:pStyle w:val="Heading4"/>
        <w:keepNext w:val="0"/>
        <w:spacing w:before="0" w:after="0" w:line="276" w:lineRule="auto"/>
        <w:ind w:left="0" w:firstLine="0"/>
        <w:jc w:val="both"/>
        <w:rPr>
          <w:rFonts w:ascii="Sylfaen" w:hAnsi="Sylfaen"/>
          <w:b/>
          <w:color w:val="000000"/>
          <w:sz w:val="22"/>
          <w:szCs w:val="22"/>
        </w:rPr>
      </w:pPr>
      <w:bookmarkStart w:id="4" w:name="_no9gyfc7o4tt" w:colFirst="0" w:colLast="0"/>
      <w:bookmarkEnd w:id="4"/>
      <w:r w:rsidRPr="007D5FE6">
        <w:rPr>
          <w:rFonts w:ascii="Sylfaen" w:hAnsi="Sylfaen"/>
          <w:b/>
          <w:color w:val="000000"/>
          <w:sz w:val="22"/>
          <w:szCs w:val="22"/>
        </w:rPr>
        <w:t>2.1 Case Studies in Production-Scale Payment Environments</w:t>
      </w:r>
    </w:p>
    <w:p w14:paraId="1EA8FF6B" w14:textId="77777777" w:rsidR="008839CB" w:rsidRPr="007D5FE6" w:rsidRDefault="008839CB" w:rsidP="007D5FE6">
      <w:pPr>
        <w:spacing w:line="276" w:lineRule="auto"/>
        <w:jc w:val="both"/>
        <w:rPr>
          <w:rFonts w:ascii="Sylfaen" w:hAnsi="Sylfaen"/>
          <w:sz w:val="22"/>
          <w:szCs w:val="22"/>
        </w:rPr>
      </w:pPr>
      <w:r w:rsidRPr="007D5FE6">
        <w:rPr>
          <w:rFonts w:ascii="Sylfaen" w:hAnsi="Sylfaen"/>
          <w:sz w:val="22"/>
          <w:szCs w:val="22"/>
        </w:rPr>
        <w:t>Real-world implementations of security frameworks within production-scale payment environments provide invaluable insights into the effectiveness, limitations, and adaptability of theoretical models. While many organizations adopt frameworks aligned with PCI DSS, GDPR, and PSD2, the extent of compliance and implementation maturity varies widely. For example, large global payment service providers like PayPal, Stripe, and Square have invested heavily in layered security models that combine secure coding, encryption, tokenization, and multi-factor authentication. However, case studies reveal that even these mature platforms occasionally suffer from breaches, primarily due to human error, third-party integrations, or overlooked vulnerabilities in complex microservices architectures. Apple Pay and Google Pay serve as benchmark case studies in tokenization and biometric authentication, yet their security success is largely attributed to seamless integration with hardware-level encryption and strict access controls that are not feasible for all providers. Meanwhile, decentralized payment platforms leveraging blockchain offer new paradigms of trustlessness but often struggle with user authentication standards and integration with traditional financial systems. These case studies highlight that the success of a security framework is not only technical but also organizational—requiring sustained investment in compliance monitoring, workforce training, and incident management readiness.</w:t>
      </w:r>
    </w:p>
    <w:p w14:paraId="545B6CAF" w14:textId="77777777" w:rsidR="008839CB" w:rsidRPr="007D5FE6" w:rsidRDefault="008839CB" w:rsidP="007D5FE6">
      <w:pPr>
        <w:pStyle w:val="Heading4"/>
        <w:keepNext w:val="0"/>
        <w:spacing w:before="0" w:after="0" w:line="276" w:lineRule="auto"/>
        <w:ind w:left="0" w:firstLine="0"/>
        <w:jc w:val="both"/>
        <w:rPr>
          <w:rFonts w:ascii="Sylfaen" w:hAnsi="Sylfaen"/>
          <w:b/>
          <w:color w:val="000000"/>
          <w:sz w:val="22"/>
          <w:szCs w:val="22"/>
        </w:rPr>
      </w:pPr>
      <w:bookmarkStart w:id="5" w:name="_28wxvdmik2l5" w:colFirst="0" w:colLast="0"/>
      <w:bookmarkEnd w:id="5"/>
      <w:r w:rsidRPr="007D5FE6">
        <w:rPr>
          <w:rFonts w:ascii="Sylfaen" w:hAnsi="Sylfaen"/>
          <w:b/>
          <w:color w:val="000000"/>
          <w:sz w:val="22"/>
          <w:szCs w:val="22"/>
        </w:rPr>
        <w:t>2.2 Performance Metrics and Incident Response Effectiveness</w:t>
      </w:r>
    </w:p>
    <w:p w14:paraId="526553FC" w14:textId="77777777" w:rsidR="008839CB" w:rsidRPr="007D5FE6" w:rsidRDefault="008839CB" w:rsidP="007D5FE6">
      <w:pPr>
        <w:spacing w:line="276" w:lineRule="auto"/>
        <w:jc w:val="both"/>
        <w:rPr>
          <w:rFonts w:ascii="Sylfaen" w:hAnsi="Sylfaen"/>
          <w:sz w:val="22"/>
          <w:szCs w:val="22"/>
        </w:rPr>
      </w:pPr>
      <w:r w:rsidRPr="007D5FE6">
        <w:rPr>
          <w:rFonts w:ascii="Sylfaen" w:hAnsi="Sylfaen"/>
          <w:sz w:val="22"/>
          <w:szCs w:val="22"/>
        </w:rPr>
        <w:t>To evaluate the strength of deployed security frameworks, institutions must measure their effectiveness using clearly defined, quantifiable performance metrics. These include but are not limited to: the number of detected fraud attempts, mean time to detect (MTTD) a breach, mean time to respond (MTTR), system uptime during incidents, the percentage of false positives in fraud detection systems, and compliance audit pass rates. Organizations with proactive monitoring systems, such as those using Security Information and Event Management (SIEM) platforms, typically demonstrate quicker detection and resolution cycles. For instance, when a real-time fraud alert system flags anomalies based on transaction behavior analysis, an automated incident response can isolate the threat before it affects users. This operational intelligence becomes a key differentiator between reactive and resilient payment infrastructures. However, performance benchmarking reveals inconsistencies—many institutions fail to maintain 24/7 monitoring or lack predefined escalation workflows. While larger organizations may invest in automated Security Orchestration, Automation, and Response (SOAR) platforms, smaller providers often rely on manual logs or delayed alerts, which can extend recovery times and expose vulnerabilities. Hence, evaluating real-world deployments demands scrutiny of both technical efficacy and operational maturity.</w:t>
      </w:r>
    </w:p>
    <w:p w14:paraId="1453BF4B" w14:textId="77777777" w:rsidR="008839CB" w:rsidRPr="007D5FE6" w:rsidRDefault="008839CB" w:rsidP="007D5FE6">
      <w:pPr>
        <w:pStyle w:val="Heading4"/>
        <w:keepNext w:val="0"/>
        <w:spacing w:before="0" w:after="0" w:line="276" w:lineRule="auto"/>
        <w:ind w:left="0" w:firstLine="0"/>
        <w:jc w:val="both"/>
        <w:rPr>
          <w:rFonts w:ascii="Sylfaen" w:hAnsi="Sylfaen"/>
          <w:b/>
          <w:color w:val="000000"/>
          <w:sz w:val="22"/>
          <w:szCs w:val="22"/>
        </w:rPr>
      </w:pPr>
      <w:bookmarkStart w:id="6" w:name="_ojbdllbhxneb" w:colFirst="0" w:colLast="0"/>
      <w:bookmarkEnd w:id="6"/>
      <w:r w:rsidRPr="007D5FE6">
        <w:rPr>
          <w:rFonts w:ascii="Sylfaen" w:hAnsi="Sylfaen"/>
          <w:b/>
          <w:color w:val="000000"/>
          <w:sz w:val="22"/>
          <w:szCs w:val="22"/>
        </w:rPr>
        <w:t>2.3 Gaps Between Theoretical Design and Operational Reality</w:t>
      </w:r>
    </w:p>
    <w:p w14:paraId="6BDE646E" w14:textId="77777777" w:rsidR="008839CB" w:rsidRPr="007D5FE6" w:rsidRDefault="008839CB" w:rsidP="007D5FE6">
      <w:pPr>
        <w:spacing w:line="276" w:lineRule="auto"/>
        <w:jc w:val="both"/>
        <w:rPr>
          <w:rFonts w:ascii="Sylfaen" w:hAnsi="Sylfaen"/>
          <w:sz w:val="22"/>
          <w:szCs w:val="22"/>
        </w:rPr>
      </w:pPr>
      <w:r w:rsidRPr="007D5FE6">
        <w:rPr>
          <w:rFonts w:ascii="Sylfaen" w:hAnsi="Sylfaen"/>
          <w:sz w:val="22"/>
          <w:szCs w:val="22"/>
        </w:rPr>
        <w:t xml:space="preserve">Despite the rigor of academic frameworks and security standards, significant gaps persist when these designs are deployed in real-world payment systems. Theoretically sound models often assume ideal conditions—such as timely patching, fully compliant APIs, secure key management, and continuous developer oversight—which are frequently compromised by organizational constraints. For </w:t>
      </w:r>
      <w:r w:rsidRPr="007D5FE6">
        <w:rPr>
          <w:rFonts w:ascii="Sylfaen" w:hAnsi="Sylfaen"/>
          <w:sz w:val="22"/>
          <w:szCs w:val="22"/>
        </w:rPr>
        <w:lastRenderedPageBreak/>
        <w:t>instance, software teams might face time-to-market pressures that force them to skip certain phases of the Secure Development Lifecycle (SDLC), such as extensive code reviews or penetration testing. Similarly, while tokenization is theoretically effective, its implementation can be inconsistent if legacy systems or third-party processors lack support for secure token vaults. Moreover, user behavior in the field deviates from lab-tested assumptions: users often reuse weak passwords, ignore security prompts, or fall victim to phishing—undermining otherwise robust frameworks. Additionally, budget constraints in mid-sized and small enterprises often lead to piecemeal implementation of standards, relying heavily on open-source tools without dedicated security personnel. These disparities reveal a critical truth: security effectiveness is not merely a product of good design but of sustained, disciplined execution across the lifecycle. Bridging this gap requires a shift in mindset—from compliance-driven checklists to security-as-a-culture practices embedded throughout the development and operational ecosystem.</w:t>
      </w:r>
    </w:p>
    <w:p w14:paraId="4DBFB50A" w14:textId="77777777" w:rsidR="008839CB" w:rsidRPr="007D5FE6" w:rsidRDefault="008839CB" w:rsidP="007D5FE6">
      <w:pPr>
        <w:pStyle w:val="Heading3"/>
        <w:keepNext w:val="0"/>
        <w:numPr>
          <w:ilvl w:val="0"/>
          <w:numId w:val="0"/>
        </w:numPr>
        <w:tabs>
          <w:tab w:val="clear" w:pos="360"/>
          <w:tab w:val="clear" w:pos="432"/>
        </w:tabs>
        <w:spacing w:before="0" w:after="0" w:line="276" w:lineRule="auto"/>
        <w:jc w:val="both"/>
        <w:rPr>
          <w:rFonts w:ascii="Sylfaen" w:hAnsi="Sylfaen"/>
          <w:b w:val="0"/>
          <w:color w:val="000000"/>
          <w:sz w:val="22"/>
          <w:szCs w:val="22"/>
        </w:rPr>
      </w:pPr>
      <w:bookmarkStart w:id="7" w:name="_og6mltouf4jm" w:colFirst="0" w:colLast="0"/>
      <w:bookmarkEnd w:id="7"/>
      <w:r w:rsidRPr="007D5FE6">
        <w:rPr>
          <w:rFonts w:ascii="Sylfaen" w:hAnsi="Sylfaen"/>
          <w:color w:val="000000"/>
          <w:sz w:val="22"/>
          <w:szCs w:val="22"/>
        </w:rPr>
        <w:t>3. Designing for Diverse Markets: Beyond the Western Lens</w:t>
      </w:r>
    </w:p>
    <w:p w14:paraId="4E911BD2" w14:textId="77777777" w:rsidR="008839CB" w:rsidRPr="007D5FE6" w:rsidRDefault="008839CB" w:rsidP="007D5FE6">
      <w:pPr>
        <w:spacing w:line="276" w:lineRule="auto"/>
        <w:jc w:val="both"/>
        <w:rPr>
          <w:rFonts w:ascii="Sylfaen" w:hAnsi="Sylfaen"/>
          <w:sz w:val="22"/>
          <w:szCs w:val="22"/>
        </w:rPr>
      </w:pPr>
      <w:r w:rsidRPr="007D5FE6">
        <w:rPr>
          <w:rFonts w:ascii="Sylfaen" w:hAnsi="Sylfaen"/>
          <w:sz w:val="22"/>
          <w:szCs w:val="22"/>
        </w:rPr>
        <w:t>The global landscape of digital payments is expanding rapidly, but much of the prevailing research, frameworks, and security protocols remain rooted in assumptions that reflect Western infrastructure, regulatory environments, and user behavior. This creates a significant gap when these systems are applied or scaled to emerging markets, particularly in regions with inconsistent internet access, limited device penetration, and weaker financial inclusion. Designing robust, secure, and accessible payment systems for diverse markets requires more than technological sophistication—it demands contextual sensitivity, adaptive architectures, and culturally attuned design practices. This section delves into the evolving needs of underrepresented markets and the modifications necessary to make security frameworks truly global and inclusive.</w:t>
      </w:r>
    </w:p>
    <w:p w14:paraId="2FE5234D" w14:textId="77777777" w:rsidR="008839CB" w:rsidRPr="007D5FE6" w:rsidRDefault="008839CB" w:rsidP="007D5FE6">
      <w:pPr>
        <w:pStyle w:val="Heading4"/>
        <w:keepNext w:val="0"/>
        <w:spacing w:before="0" w:after="0" w:line="276" w:lineRule="auto"/>
        <w:ind w:left="0" w:firstLine="0"/>
        <w:jc w:val="both"/>
        <w:rPr>
          <w:rFonts w:ascii="Sylfaen" w:hAnsi="Sylfaen"/>
          <w:b/>
          <w:color w:val="000000"/>
          <w:sz w:val="22"/>
          <w:szCs w:val="22"/>
        </w:rPr>
      </w:pPr>
      <w:bookmarkStart w:id="8" w:name="_bowiq4eqpcyv" w:colFirst="0" w:colLast="0"/>
      <w:bookmarkEnd w:id="8"/>
      <w:r w:rsidRPr="007D5FE6">
        <w:rPr>
          <w:rFonts w:ascii="Sylfaen" w:hAnsi="Sylfaen"/>
          <w:b/>
          <w:color w:val="000000"/>
          <w:sz w:val="22"/>
          <w:szCs w:val="22"/>
        </w:rPr>
        <w:t>3.1 Security Requirements in Emerging and Low-Connectivity Economies</w:t>
      </w:r>
    </w:p>
    <w:p w14:paraId="04881CEA" w14:textId="77777777" w:rsidR="008839CB" w:rsidRPr="007D5FE6" w:rsidRDefault="008839CB" w:rsidP="007D5FE6">
      <w:pPr>
        <w:spacing w:line="276" w:lineRule="auto"/>
        <w:jc w:val="both"/>
        <w:rPr>
          <w:rFonts w:ascii="Sylfaen" w:hAnsi="Sylfaen"/>
          <w:sz w:val="22"/>
          <w:szCs w:val="22"/>
        </w:rPr>
      </w:pPr>
      <w:r w:rsidRPr="007D5FE6">
        <w:rPr>
          <w:rFonts w:ascii="Sylfaen" w:hAnsi="Sylfaen"/>
          <w:sz w:val="22"/>
          <w:szCs w:val="22"/>
        </w:rPr>
        <w:t>In many developing countries, the adoption of digital payments is driven by necessity rather than convenience. Populations in rural or underserved regions often rely on mobile phones with limited internet access, shared devices, or SMS-based platforms to conduct financial transactions. As a result, security requirements in these environments differ significantly from those in high-speed, always-connected urban centers. Low-bandwidth environments cannot support data-heavy security protocols such as biometric scans or real-time fraud monitoring that require cloud access. Therefore, lightweight cryptographic methods, offline verification techniques, and device-local tokenization must be prioritized. Furthermore, fraud detection mechanisms must operate with minimal latency and function within intermittent network conditions, necessitating a decentralized, edge-computing approach. Another challenge lies in building user trust in regions where formal financial institutions may have limited presence. Ensuring transparency, clarity of transaction logs, and easy dispute resolution mechanisms become as important as backend encryption algorithms.</w:t>
      </w:r>
    </w:p>
    <w:p w14:paraId="74C9EB9C" w14:textId="77777777" w:rsidR="008839CB" w:rsidRPr="007D5FE6" w:rsidRDefault="008839CB" w:rsidP="007D5FE6">
      <w:pPr>
        <w:pStyle w:val="Heading4"/>
        <w:keepNext w:val="0"/>
        <w:spacing w:before="0" w:after="0" w:line="276" w:lineRule="auto"/>
        <w:ind w:left="0" w:firstLine="0"/>
        <w:jc w:val="both"/>
        <w:rPr>
          <w:rFonts w:ascii="Sylfaen" w:hAnsi="Sylfaen"/>
          <w:b/>
          <w:color w:val="000000"/>
          <w:sz w:val="22"/>
          <w:szCs w:val="22"/>
        </w:rPr>
      </w:pPr>
      <w:bookmarkStart w:id="9" w:name="_ked4xiozdlwn" w:colFirst="0" w:colLast="0"/>
      <w:bookmarkEnd w:id="9"/>
      <w:r w:rsidRPr="007D5FE6">
        <w:rPr>
          <w:rFonts w:ascii="Sylfaen" w:hAnsi="Sylfaen"/>
          <w:b/>
          <w:color w:val="000000"/>
          <w:sz w:val="22"/>
          <w:szCs w:val="22"/>
        </w:rPr>
        <w:t>3.2 Adaptation of Frameworks for Underbanked Populations</w:t>
      </w:r>
    </w:p>
    <w:p w14:paraId="0160BF21" w14:textId="77777777" w:rsidR="008839CB" w:rsidRPr="007D5FE6" w:rsidRDefault="008839CB" w:rsidP="007D5FE6">
      <w:pPr>
        <w:spacing w:line="276" w:lineRule="auto"/>
        <w:jc w:val="both"/>
        <w:rPr>
          <w:rFonts w:ascii="Sylfaen" w:hAnsi="Sylfaen"/>
          <w:sz w:val="22"/>
          <w:szCs w:val="22"/>
        </w:rPr>
      </w:pPr>
      <w:r w:rsidRPr="007D5FE6">
        <w:rPr>
          <w:rFonts w:ascii="Sylfaen" w:hAnsi="Sylfaen"/>
          <w:sz w:val="22"/>
          <w:szCs w:val="22"/>
        </w:rPr>
        <w:t xml:space="preserve">More than 1.4 billion people worldwide remain unbanked, according to recent estimates by the World Bank. These individuals often lack access to traditional identity documentation, stable income verification, or formal credit histories—criteria that are typically foundational to many Western-centric financial security frameworks. Consequently, adaptation must occur at multiple levels. First, digital identity systems should support alternative forms of verification such as biometrics, community-based attestation, or mobile phone metadata. Second, payment systems must integrate with informal economies—such as mobile money agents or local </w:t>
      </w:r>
      <w:r w:rsidRPr="007D5FE6">
        <w:rPr>
          <w:rFonts w:ascii="Sylfaen" w:hAnsi="Sylfaen"/>
          <w:sz w:val="22"/>
          <w:szCs w:val="22"/>
        </w:rPr>
        <w:lastRenderedPageBreak/>
        <w:t>cooperatives—to ensure broad access and usability. Third, the user interface of payment applications should be designed for low literacy or multilingual contexts, incorporating voice navigation, icons, and minimal text interfaces. Moreover, security models must be flexible enough to accommodate tiered risk levels, allowing for “progressive KYC” where users start with basic services and unlock advanced features through gradual identity confirmation. These modifications ensure that security frameworks are not a barrier but a bridge to financial empowerment for underbanked populations.</w:t>
      </w:r>
    </w:p>
    <w:p w14:paraId="77910769" w14:textId="77777777" w:rsidR="008839CB" w:rsidRPr="007D5FE6" w:rsidRDefault="008839CB" w:rsidP="007D5FE6">
      <w:pPr>
        <w:pStyle w:val="Heading4"/>
        <w:keepNext w:val="0"/>
        <w:spacing w:before="0" w:after="0" w:line="276" w:lineRule="auto"/>
        <w:ind w:left="0" w:firstLine="0"/>
        <w:jc w:val="both"/>
        <w:rPr>
          <w:rFonts w:ascii="Sylfaen" w:hAnsi="Sylfaen"/>
          <w:b/>
          <w:color w:val="000000"/>
          <w:sz w:val="22"/>
          <w:szCs w:val="22"/>
        </w:rPr>
      </w:pPr>
      <w:bookmarkStart w:id="10" w:name="_mabw2kocu9qp" w:colFirst="0" w:colLast="0"/>
      <w:bookmarkEnd w:id="10"/>
      <w:r w:rsidRPr="007D5FE6">
        <w:rPr>
          <w:rFonts w:ascii="Sylfaen" w:hAnsi="Sylfaen"/>
          <w:b/>
          <w:color w:val="000000"/>
          <w:sz w:val="22"/>
          <w:szCs w:val="22"/>
        </w:rPr>
        <w:t>3.3 Localization Challenges in Regulatory and Technical Environments</w:t>
      </w:r>
    </w:p>
    <w:p w14:paraId="11D650B8" w14:textId="77777777" w:rsidR="008839CB" w:rsidRPr="007D5FE6" w:rsidRDefault="008839CB" w:rsidP="007D5FE6">
      <w:pPr>
        <w:spacing w:line="276" w:lineRule="auto"/>
        <w:jc w:val="both"/>
        <w:rPr>
          <w:rFonts w:ascii="Sylfaen" w:hAnsi="Sylfaen"/>
          <w:sz w:val="22"/>
          <w:szCs w:val="22"/>
        </w:rPr>
      </w:pPr>
      <w:r w:rsidRPr="007D5FE6">
        <w:rPr>
          <w:rFonts w:ascii="Sylfaen" w:hAnsi="Sylfaen"/>
          <w:sz w:val="22"/>
          <w:szCs w:val="22"/>
        </w:rPr>
        <w:t>Applying a universal security framework across diverse jurisdictions poses significant localization challenges. Regulatory frameworks differ not only in technical requirements but also in philosophical underpinnings—some emphasize data sovereignty, while others prioritize innovation. For example, while the European Union's GDPR demands strict data privacy controls, countries like India emphasize data localization, requiring that payment-related data be stored within national borders. This creates compliance and architecture complexities for multinational platforms operating across regions. Additionally, technical standards such as encryption protocols, digital signature schemes, and identity verification methods may vary by country. Localization also impacts integration: APIs that connect payment systems to local banks, telecom providers, or government ID systems may differ significantly in terms of documentation, security requirements, and reliability. Developers must, therefore, design modular, adaptable architectures capable of meeting diverse compliance benchmarks. Moreover, establishing local partnerships and gaining regulatory trust is often a prerequisite for successful deployment. Without localization, even the most advanced payment platforms risk rejection or underutilization in foreign markets.</w:t>
      </w:r>
    </w:p>
    <w:p w14:paraId="65E34E60" w14:textId="77777777" w:rsidR="008839CB" w:rsidRPr="007D5FE6" w:rsidRDefault="008839CB" w:rsidP="007D5FE6">
      <w:pPr>
        <w:pStyle w:val="Heading3"/>
        <w:keepNext w:val="0"/>
        <w:numPr>
          <w:ilvl w:val="0"/>
          <w:numId w:val="0"/>
        </w:numPr>
        <w:tabs>
          <w:tab w:val="clear" w:pos="360"/>
          <w:tab w:val="clear" w:pos="432"/>
        </w:tabs>
        <w:spacing w:before="0" w:after="0" w:line="276" w:lineRule="auto"/>
        <w:jc w:val="both"/>
        <w:rPr>
          <w:rFonts w:ascii="Sylfaen" w:hAnsi="Sylfaen"/>
          <w:b w:val="0"/>
          <w:color w:val="000000"/>
          <w:sz w:val="22"/>
          <w:szCs w:val="22"/>
        </w:rPr>
      </w:pPr>
      <w:bookmarkStart w:id="11" w:name="_2eo3uyyzvoa9" w:colFirst="0" w:colLast="0"/>
      <w:bookmarkEnd w:id="11"/>
      <w:r w:rsidRPr="007D5FE6">
        <w:rPr>
          <w:rFonts w:ascii="Sylfaen" w:hAnsi="Sylfaen"/>
          <w:color w:val="000000"/>
          <w:sz w:val="22"/>
          <w:szCs w:val="22"/>
        </w:rPr>
        <w:t>4. Human Factors and Accessibility in Payment Security</w:t>
      </w:r>
    </w:p>
    <w:p w14:paraId="5C42A72B" w14:textId="77777777" w:rsidR="008839CB" w:rsidRPr="007D5FE6" w:rsidRDefault="008839CB" w:rsidP="007D5FE6">
      <w:pPr>
        <w:spacing w:line="276" w:lineRule="auto"/>
        <w:jc w:val="both"/>
        <w:rPr>
          <w:rFonts w:ascii="Sylfaen" w:hAnsi="Sylfaen"/>
          <w:sz w:val="22"/>
          <w:szCs w:val="22"/>
        </w:rPr>
      </w:pPr>
      <w:r w:rsidRPr="007D5FE6">
        <w:rPr>
          <w:rFonts w:ascii="Sylfaen" w:hAnsi="Sylfaen"/>
          <w:sz w:val="22"/>
          <w:szCs w:val="22"/>
        </w:rPr>
        <w:t>The human element plays a critical role in the overall effectiveness of payment security systems. While technical controls such as encryption, secure APIs, and multi-factor authentication (MFA) provide foundational protection, the success of these mechanisms ultimately depends on how intuitively and reliably they are used by end-users. Security mechanisms that are too complex, intrusive, or unintuitive often result in user resistance, circumvention, or errors—ironically weakening the very security they were intended to enforce. As payment systems become more digitized and sophisticated, there is an urgent need to design security measures that are not only technically sound but also accessible, inclusive, and user-friendly across diverse demographics. This section explores the intersection of usability and security in smart payment systems, with an emphasis on the challenges posed by MFA and biometrics, the inclusivity needs of vulnerable user groups, and the balancing act between seamless user experience and effective risk mitigation.</w:t>
      </w:r>
    </w:p>
    <w:p w14:paraId="041404DA" w14:textId="77777777" w:rsidR="008839CB" w:rsidRPr="007D5FE6" w:rsidRDefault="008839CB" w:rsidP="007D5FE6">
      <w:pPr>
        <w:pStyle w:val="Heading4"/>
        <w:keepNext w:val="0"/>
        <w:spacing w:before="0" w:after="0" w:line="276" w:lineRule="auto"/>
        <w:ind w:left="0" w:firstLine="0"/>
        <w:jc w:val="both"/>
        <w:rPr>
          <w:rFonts w:ascii="Sylfaen" w:hAnsi="Sylfaen"/>
          <w:b/>
          <w:color w:val="000000"/>
          <w:sz w:val="22"/>
          <w:szCs w:val="22"/>
        </w:rPr>
      </w:pPr>
      <w:bookmarkStart w:id="12" w:name="_6yqnnonw2uqf" w:colFirst="0" w:colLast="0"/>
      <w:bookmarkEnd w:id="12"/>
      <w:r w:rsidRPr="007D5FE6">
        <w:rPr>
          <w:rFonts w:ascii="Sylfaen" w:hAnsi="Sylfaen"/>
          <w:b/>
          <w:color w:val="000000"/>
          <w:sz w:val="22"/>
          <w:szCs w:val="22"/>
        </w:rPr>
        <w:t>4.1 Usability Challenges in Multi-Factor and Biometric Authentication</w:t>
      </w:r>
    </w:p>
    <w:p w14:paraId="0F0AC5B6" w14:textId="77777777" w:rsidR="008839CB" w:rsidRPr="007D5FE6" w:rsidRDefault="008839CB" w:rsidP="007D5FE6">
      <w:pPr>
        <w:spacing w:line="276" w:lineRule="auto"/>
        <w:jc w:val="both"/>
        <w:rPr>
          <w:rFonts w:ascii="Sylfaen" w:hAnsi="Sylfaen"/>
          <w:sz w:val="22"/>
          <w:szCs w:val="22"/>
        </w:rPr>
      </w:pPr>
      <w:r w:rsidRPr="007D5FE6">
        <w:rPr>
          <w:rFonts w:ascii="Sylfaen" w:hAnsi="Sylfaen"/>
          <w:sz w:val="22"/>
          <w:szCs w:val="22"/>
        </w:rPr>
        <w:t>Multi-Factor Authentication (MFA) has become a cornerstone of digital payment security, yet its implementation can introduce significant usability challenges. MFA requires users to verify their identity using at least two factors—typically a combination of something they know (password or PIN), something they have (device or token), and something they are (biometric data). Although this layered approach greatly enhances security, it often places a cognitive and logistical burden on users. For instance, users may struggle to remember complex passwords or may not always have access to their second factor, such as a smartphone or hardware token, particularly in emergencies or while traveling.</w:t>
      </w:r>
    </w:p>
    <w:p w14:paraId="2B4F9888" w14:textId="77777777" w:rsidR="008839CB" w:rsidRPr="007D5FE6" w:rsidRDefault="008839CB" w:rsidP="007D5FE6">
      <w:pPr>
        <w:spacing w:line="276" w:lineRule="auto"/>
        <w:jc w:val="both"/>
        <w:rPr>
          <w:rFonts w:ascii="Sylfaen" w:hAnsi="Sylfaen"/>
          <w:sz w:val="22"/>
          <w:szCs w:val="22"/>
        </w:rPr>
      </w:pPr>
      <w:r w:rsidRPr="007D5FE6">
        <w:rPr>
          <w:rFonts w:ascii="Sylfaen" w:hAnsi="Sylfaen"/>
          <w:sz w:val="22"/>
          <w:szCs w:val="22"/>
        </w:rPr>
        <w:lastRenderedPageBreak/>
        <w:t>Biometric authentication, though convenient in theory, introduces its own set of complications. Devices may fail to recognize fingerprints in wet or cold environments, facial recognition may be affected by poor lighting or medical conditions, and voice recognition can be disrupted by ambient noise or speech impairments. Additionally, biometric systems can sometimes be perceived as intrusive, raising concerns over privacy and data misuse. The usability of these systems is further challenged by inconsistent experiences across different platforms and devices, where the same biometric or MFA method may perform differently depending on the technology used. This inconsistency erodes user confidence and can lead to friction or dropout during transactions—particularly in high-stakes financial environments.</w:t>
      </w:r>
    </w:p>
    <w:p w14:paraId="279B62D6" w14:textId="77777777" w:rsidR="008839CB" w:rsidRPr="007D5FE6" w:rsidRDefault="008839CB" w:rsidP="007D5FE6">
      <w:pPr>
        <w:pStyle w:val="Heading4"/>
        <w:keepNext w:val="0"/>
        <w:spacing w:before="0" w:after="0" w:line="276" w:lineRule="auto"/>
        <w:ind w:left="0" w:firstLine="0"/>
        <w:jc w:val="both"/>
        <w:rPr>
          <w:rFonts w:ascii="Sylfaen" w:hAnsi="Sylfaen"/>
          <w:b/>
          <w:color w:val="000000"/>
          <w:sz w:val="22"/>
          <w:szCs w:val="22"/>
        </w:rPr>
      </w:pPr>
      <w:bookmarkStart w:id="13" w:name="_9ubr8ziffon" w:colFirst="0" w:colLast="0"/>
      <w:bookmarkEnd w:id="13"/>
      <w:r w:rsidRPr="007D5FE6">
        <w:rPr>
          <w:rFonts w:ascii="Sylfaen" w:hAnsi="Sylfaen"/>
          <w:b/>
          <w:color w:val="000000"/>
          <w:sz w:val="22"/>
          <w:szCs w:val="22"/>
        </w:rPr>
        <w:t>4.2 Inclusive Security for Elderly, Disabled, and Digitally Illiterate Users</w:t>
      </w:r>
    </w:p>
    <w:p w14:paraId="0F2B85E2" w14:textId="77777777" w:rsidR="008839CB" w:rsidRPr="007D5FE6" w:rsidRDefault="008839CB" w:rsidP="007D5FE6">
      <w:pPr>
        <w:spacing w:line="276" w:lineRule="auto"/>
        <w:jc w:val="both"/>
        <w:rPr>
          <w:rFonts w:ascii="Sylfaen" w:hAnsi="Sylfaen"/>
          <w:sz w:val="22"/>
          <w:szCs w:val="22"/>
        </w:rPr>
      </w:pPr>
      <w:r w:rsidRPr="007D5FE6">
        <w:rPr>
          <w:rFonts w:ascii="Sylfaen" w:hAnsi="Sylfaen"/>
          <w:sz w:val="22"/>
          <w:szCs w:val="22"/>
        </w:rPr>
        <w:t>A secure payment system must serve not only the tech-savvy but also individuals who face physical, cognitive, or digital literacy barriers. The elderly often struggle with small touchscreen interfaces, fast-changing verification flows, and the use of mobile-based authentication methods. Many may lack smartphones entirely or be unfamiliar with newer concepts such as QR codes, app-based tokens, or biometric enrollment. Disabilities, whether visual, auditory, or motor, further complicate interaction with standard security procedures. For example, users with visual impairments may be unable to verify CAPTCHA challenges or SMS passcodes, while those with tremors may have difficulty with fingerprint scanners.</w:t>
      </w:r>
    </w:p>
    <w:p w14:paraId="13BBF649" w14:textId="77777777" w:rsidR="008839CB" w:rsidRPr="007D5FE6" w:rsidRDefault="008839CB" w:rsidP="007D5FE6">
      <w:pPr>
        <w:spacing w:line="276" w:lineRule="auto"/>
        <w:jc w:val="both"/>
        <w:rPr>
          <w:rFonts w:ascii="Sylfaen" w:hAnsi="Sylfaen"/>
          <w:sz w:val="22"/>
          <w:szCs w:val="22"/>
        </w:rPr>
      </w:pPr>
      <w:r w:rsidRPr="007D5FE6">
        <w:rPr>
          <w:rFonts w:ascii="Sylfaen" w:hAnsi="Sylfaen"/>
          <w:sz w:val="22"/>
          <w:szCs w:val="22"/>
        </w:rPr>
        <w:t xml:space="preserve">Digitally illiterate users—including populations in rural areas or low-income communities—often lack the knowledge to differentiate legitimate security prompts from phishing attempts, leaving them highly vulnerable to social engineering attacks. Designing for inclusivity, therefore, requires a multi-pronged approach: providing alternative authentication methods (e.g., voice calls for SMS-based MFA), </w:t>
      </w:r>
      <w:r w:rsidRPr="007D5FE6">
        <w:rPr>
          <w:rFonts w:ascii="Sylfaen" w:hAnsi="Sylfaen"/>
          <w:sz w:val="22"/>
          <w:szCs w:val="22"/>
        </w:rPr>
        <w:t>ensuring interfaces are compatible with screen readers and assistive technologies, and simplifying verification flows without compromising security. It also involves providing multilingual support and context-sensitive help throughout the transaction process. Failure to consider these user segments not only reduces adoption but also deepens financial exclusion, as people are left behind due to barriers in accessibility rather than actual lack of need.</w:t>
      </w:r>
    </w:p>
    <w:p w14:paraId="2CE4176D" w14:textId="77777777" w:rsidR="008839CB" w:rsidRPr="007D5FE6" w:rsidRDefault="008839CB" w:rsidP="007D5FE6">
      <w:pPr>
        <w:pStyle w:val="Heading4"/>
        <w:keepNext w:val="0"/>
        <w:spacing w:before="0" w:after="0" w:line="276" w:lineRule="auto"/>
        <w:ind w:left="0" w:firstLine="0"/>
        <w:jc w:val="both"/>
        <w:rPr>
          <w:rFonts w:ascii="Sylfaen" w:hAnsi="Sylfaen"/>
          <w:b/>
          <w:color w:val="000000"/>
          <w:sz w:val="22"/>
          <w:szCs w:val="22"/>
        </w:rPr>
      </w:pPr>
      <w:bookmarkStart w:id="14" w:name="_kyszxuirtkm5" w:colFirst="0" w:colLast="0"/>
      <w:bookmarkEnd w:id="14"/>
      <w:r w:rsidRPr="007D5FE6">
        <w:rPr>
          <w:rFonts w:ascii="Sylfaen" w:hAnsi="Sylfaen"/>
          <w:b/>
          <w:color w:val="000000"/>
          <w:sz w:val="22"/>
          <w:szCs w:val="22"/>
        </w:rPr>
        <w:t>4.3 Balancing Frictionless Experience with Risk Mitigation</w:t>
      </w:r>
    </w:p>
    <w:p w14:paraId="45638052" w14:textId="77777777" w:rsidR="008839CB" w:rsidRPr="007D5FE6" w:rsidRDefault="008839CB" w:rsidP="007D5FE6">
      <w:pPr>
        <w:spacing w:line="276" w:lineRule="auto"/>
        <w:jc w:val="both"/>
        <w:rPr>
          <w:rFonts w:ascii="Sylfaen" w:hAnsi="Sylfaen"/>
          <w:sz w:val="22"/>
          <w:szCs w:val="22"/>
        </w:rPr>
      </w:pPr>
      <w:r w:rsidRPr="007D5FE6">
        <w:rPr>
          <w:rFonts w:ascii="Sylfaen" w:hAnsi="Sylfaen"/>
          <w:sz w:val="22"/>
          <w:szCs w:val="22"/>
        </w:rPr>
        <w:t>One of the most difficult tensions in payment system design is balancing frictionless user experience with the implementation of robust security protocols. On the one hand, users expect fast, seamless, and uninterrupted payment flows—especially with the rise of one-click checkouts, mobile wallets, and contactless payments. On the other hand, strong security controls often introduce latency, additional steps, or interruptions that can degrade the perceived convenience of the system. Overly aggressive security policies—such as frequent re-authentication, random account locks, or complex password rules—can frustrate users and lead to abandonment of the service or reliance on unsafe workarounds (e.g., writing passwords down or disabling MFA).</w:t>
      </w:r>
    </w:p>
    <w:p w14:paraId="153EADD2" w14:textId="77777777" w:rsidR="008839CB" w:rsidRPr="007D5FE6" w:rsidRDefault="008839CB" w:rsidP="007D5FE6">
      <w:pPr>
        <w:spacing w:line="276" w:lineRule="auto"/>
        <w:jc w:val="both"/>
        <w:rPr>
          <w:rFonts w:ascii="Sylfaen" w:hAnsi="Sylfaen"/>
          <w:sz w:val="22"/>
          <w:szCs w:val="22"/>
        </w:rPr>
      </w:pPr>
      <w:r w:rsidRPr="007D5FE6">
        <w:rPr>
          <w:rFonts w:ascii="Sylfaen" w:hAnsi="Sylfaen"/>
          <w:sz w:val="22"/>
          <w:szCs w:val="22"/>
        </w:rPr>
        <w:t xml:space="preserve">To strike the right balance, payment systems must adopt adaptive authentication strategies that respond to contextual risk. For example, low-risk transactions could be streamlined with passive biometric or behavioral analysis, while higher-risk scenarios—such as cross-border payments or login from a new device—trigger additional layers of authentication. Behavioral analytics and AI can help make these determinations in real-time, ensuring that the friction users experience is proportional to the actual risk involved. Furthermore, transparency and user control are essential: users should be made aware of why certain security measures are triggered and given options for alternate verification where possible. When users understand the value of the security </w:t>
      </w:r>
      <w:r w:rsidRPr="007D5FE6">
        <w:rPr>
          <w:rFonts w:ascii="Sylfaen" w:hAnsi="Sylfaen"/>
          <w:sz w:val="22"/>
          <w:szCs w:val="22"/>
        </w:rPr>
        <w:lastRenderedPageBreak/>
        <w:t>measures in place and find them reasonable and accessible, they are more likely to comply—resulting in a more secure ecosystem overall.</w:t>
      </w:r>
    </w:p>
    <w:p w14:paraId="209F1793" w14:textId="77777777" w:rsidR="008839CB" w:rsidRPr="007D5FE6" w:rsidRDefault="008839CB" w:rsidP="007D5FE6">
      <w:pPr>
        <w:pStyle w:val="Heading3"/>
        <w:keepNext w:val="0"/>
        <w:numPr>
          <w:ilvl w:val="0"/>
          <w:numId w:val="0"/>
        </w:numPr>
        <w:tabs>
          <w:tab w:val="clear" w:pos="360"/>
          <w:tab w:val="clear" w:pos="432"/>
        </w:tabs>
        <w:spacing w:before="0" w:after="0" w:line="276" w:lineRule="auto"/>
        <w:jc w:val="both"/>
        <w:rPr>
          <w:rFonts w:ascii="Sylfaen" w:hAnsi="Sylfaen"/>
          <w:b w:val="0"/>
          <w:color w:val="000000"/>
          <w:sz w:val="22"/>
          <w:szCs w:val="22"/>
        </w:rPr>
      </w:pPr>
      <w:bookmarkStart w:id="15" w:name="_4a82zre7fm1z" w:colFirst="0" w:colLast="0"/>
      <w:bookmarkEnd w:id="15"/>
      <w:r w:rsidRPr="007D5FE6">
        <w:rPr>
          <w:rFonts w:ascii="Sylfaen" w:hAnsi="Sylfaen"/>
          <w:color w:val="000000"/>
          <w:sz w:val="22"/>
          <w:szCs w:val="22"/>
        </w:rPr>
        <w:t>5. Insider Threats and Internal Security Risks</w:t>
      </w:r>
    </w:p>
    <w:p w14:paraId="1258246B" w14:textId="77777777" w:rsidR="008839CB" w:rsidRPr="007D5FE6" w:rsidRDefault="008839CB" w:rsidP="007D5FE6">
      <w:pPr>
        <w:spacing w:line="276" w:lineRule="auto"/>
        <w:jc w:val="both"/>
        <w:rPr>
          <w:rFonts w:ascii="Sylfaen" w:hAnsi="Sylfaen"/>
          <w:sz w:val="22"/>
          <w:szCs w:val="22"/>
        </w:rPr>
      </w:pPr>
      <w:r w:rsidRPr="007D5FE6">
        <w:rPr>
          <w:rFonts w:ascii="Sylfaen" w:hAnsi="Sylfaen"/>
          <w:sz w:val="22"/>
          <w:szCs w:val="22"/>
        </w:rPr>
        <w:t>While the majority of digital payment security efforts focus on defending against external threats such as malware, phishing, and API attacks, insider threats—malicious or negligent activities originating from within an organization—pose equally significant risks. In financial institutions and payment platforms, insiders often have legitimate access to critical systems, making it difficult to distinguish between regular and harmful behavior. These risks may come from employees, contractors, or third-party service providers who exploit system privileges, mishandle sensitive data, or inadvertently enable vulnerabilities. The insider threat landscape is especially concerning in the payments domain, where even limited access to transactional data or authentication services can lead to substantial financial and reputational damage. Addressing these internal risks requires a layered security strategy that combines robust access controls, user behavior analytics, and comprehensive third-party oversight.</w:t>
      </w:r>
    </w:p>
    <w:p w14:paraId="5A79D152" w14:textId="77777777" w:rsidR="008839CB" w:rsidRPr="007D5FE6" w:rsidRDefault="008839CB" w:rsidP="007D5FE6">
      <w:pPr>
        <w:pStyle w:val="Heading3"/>
        <w:keepNext w:val="0"/>
        <w:numPr>
          <w:ilvl w:val="0"/>
          <w:numId w:val="0"/>
        </w:numPr>
        <w:tabs>
          <w:tab w:val="clear" w:pos="360"/>
          <w:tab w:val="clear" w:pos="432"/>
        </w:tabs>
        <w:spacing w:before="0" w:after="0" w:line="276" w:lineRule="auto"/>
        <w:jc w:val="both"/>
        <w:rPr>
          <w:rFonts w:ascii="Sylfaen" w:hAnsi="Sylfaen"/>
          <w:b w:val="0"/>
          <w:color w:val="000000"/>
          <w:sz w:val="22"/>
          <w:szCs w:val="22"/>
        </w:rPr>
      </w:pPr>
      <w:bookmarkStart w:id="16" w:name="_7yflqywf75st" w:colFirst="0" w:colLast="0"/>
      <w:bookmarkEnd w:id="16"/>
      <w:r w:rsidRPr="007D5FE6">
        <w:rPr>
          <w:rFonts w:ascii="Sylfaen" w:hAnsi="Sylfaen"/>
          <w:color w:val="000000"/>
          <w:sz w:val="22"/>
          <w:szCs w:val="22"/>
        </w:rPr>
        <w:t>5.1 Role-Based Access Control and Least-Privilege Enforcement</w:t>
      </w:r>
    </w:p>
    <w:p w14:paraId="0E601653" w14:textId="77777777" w:rsidR="008839CB" w:rsidRPr="007D5FE6" w:rsidRDefault="008839CB" w:rsidP="007D5FE6">
      <w:pPr>
        <w:spacing w:line="276" w:lineRule="auto"/>
        <w:jc w:val="both"/>
        <w:rPr>
          <w:rFonts w:ascii="Sylfaen" w:hAnsi="Sylfaen"/>
          <w:sz w:val="22"/>
          <w:szCs w:val="22"/>
        </w:rPr>
      </w:pPr>
      <w:r w:rsidRPr="007D5FE6">
        <w:rPr>
          <w:rFonts w:ascii="Sylfaen" w:hAnsi="Sylfaen"/>
          <w:sz w:val="22"/>
          <w:szCs w:val="22"/>
        </w:rPr>
        <w:t>One of the foundational defenses against insider threats is the implementation of Role-Based Access Control (RBAC) and the Principle of Least Privilege (PoLP). RBAC is a system of restricting access to authorized users based on their role within the organization. Instead of granting blanket access, users receive permissions aligned only with their job responsibilities. For example, a developer may have access to a staging environment but be restricted from modifying live financial records or production servers. Least-privilege enforcement takes this a step further by ensuring that users and processes are granted only the minimum access necessary to perform their functions—no more, no less.</w:t>
      </w:r>
    </w:p>
    <w:p w14:paraId="17453856" w14:textId="77777777" w:rsidR="008839CB" w:rsidRPr="007D5FE6" w:rsidRDefault="008839CB" w:rsidP="007D5FE6">
      <w:pPr>
        <w:spacing w:line="276" w:lineRule="auto"/>
        <w:jc w:val="both"/>
        <w:rPr>
          <w:rFonts w:ascii="Sylfaen" w:hAnsi="Sylfaen"/>
          <w:sz w:val="22"/>
          <w:szCs w:val="22"/>
        </w:rPr>
      </w:pPr>
      <w:r w:rsidRPr="007D5FE6">
        <w:rPr>
          <w:rFonts w:ascii="Sylfaen" w:hAnsi="Sylfaen"/>
          <w:sz w:val="22"/>
          <w:szCs w:val="22"/>
        </w:rPr>
        <w:t>Applying RBAC and PoLP to payment systems ensures that sensitive operations—such as initiating transfers, accessing cardholder data, or configuring API endpoints—are compartmentalized and traceable. Organizations must routinely audit access levels to prevent privilege creep, which occurs when users accumulate permissions over time beyond what they currently need. Fine-grained access controls can be implemented using identity and access management (IAM) platforms that enforce time-limited or context-aware access tokens, geofencing, and conditional multi-factor authentication. Crucially, system logs should be linked to audit trails so that every privileged action is recorded and reviewed for compliance and anomaly detection.</w:t>
      </w:r>
    </w:p>
    <w:p w14:paraId="558EE7F9" w14:textId="77777777" w:rsidR="008839CB" w:rsidRPr="007D5FE6" w:rsidRDefault="008839CB" w:rsidP="007D5FE6">
      <w:pPr>
        <w:pStyle w:val="Heading3"/>
        <w:keepNext w:val="0"/>
        <w:numPr>
          <w:ilvl w:val="0"/>
          <w:numId w:val="0"/>
        </w:numPr>
        <w:tabs>
          <w:tab w:val="clear" w:pos="360"/>
          <w:tab w:val="clear" w:pos="432"/>
        </w:tabs>
        <w:spacing w:before="0" w:after="0" w:line="276" w:lineRule="auto"/>
        <w:jc w:val="both"/>
        <w:rPr>
          <w:rFonts w:ascii="Sylfaen" w:hAnsi="Sylfaen"/>
          <w:b w:val="0"/>
          <w:color w:val="000000"/>
          <w:sz w:val="22"/>
          <w:szCs w:val="22"/>
        </w:rPr>
      </w:pPr>
      <w:bookmarkStart w:id="17" w:name="_yy55m8sua3jp" w:colFirst="0" w:colLast="0"/>
      <w:bookmarkEnd w:id="17"/>
      <w:r w:rsidRPr="007D5FE6">
        <w:rPr>
          <w:rFonts w:ascii="Sylfaen" w:hAnsi="Sylfaen"/>
          <w:color w:val="000000"/>
          <w:sz w:val="22"/>
          <w:szCs w:val="22"/>
        </w:rPr>
        <w:t>5.2 Behavioral Monitoring and Insider Threat Detection</w:t>
      </w:r>
    </w:p>
    <w:p w14:paraId="66662627" w14:textId="77777777" w:rsidR="008839CB" w:rsidRPr="007D5FE6" w:rsidRDefault="008839CB" w:rsidP="007D5FE6">
      <w:pPr>
        <w:spacing w:line="276" w:lineRule="auto"/>
        <w:jc w:val="both"/>
        <w:rPr>
          <w:rFonts w:ascii="Sylfaen" w:hAnsi="Sylfaen"/>
          <w:sz w:val="22"/>
          <w:szCs w:val="22"/>
        </w:rPr>
      </w:pPr>
      <w:r w:rsidRPr="007D5FE6">
        <w:rPr>
          <w:rFonts w:ascii="Sylfaen" w:hAnsi="Sylfaen"/>
          <w:sz w:val="22"/>
          <w:szCs w:val="22"/>
        </w:rPr>
        <w:t>Traditional access control mechanisms, while essential, are insufficient on their own to detect nuanced or covert insider activities. Hence, organizations must deploy User and Entity Behavior Analytics (UEBA) tools that continuously monitor and analyze user behavior patterns. These tools leverage machine learning to establish a baseline of normal activity for each user—such as login frequency, access times, file retrieval habits, or code deployment schedules—and alert administrators when deviations from these patterns occur.</w:t>
      </w:r>
    </w:p>
    <w:p w14:paraId="77D2992E" w14:textId="77777777" w:rsidR="008839CB" w:rsidRPr="007D5FE6" w:rsidRDefault="008839CB" w:rsidP="007D5FE6">
      <w:pPr>
        <w:spacing w:line="276" w:lineRule="auto"/>
        <w:jc w:val="both"/>
        <w:rPr>
          <w:rFonts w:ascii="Sylfaen" w:hAnsi="Sylfaen"/>
          <w:sz w:val="22"/>
          <w:szCs w:val="22"/>
        </w:rPr>
      </w:pPr>
      <w:r w:rsidRPr="007D5FE6">
        <w:rPr>
          <w:rFonts w:ascii="Sylfaen" w:hAnsi="Sylfaen"/>
          <w:sz w:val="22"/>
          <w:szCs w:val="22"/>
        </w:rPr>
        <w:t>For instance, if a developer who typically works in the U.S. accesses sensitive financial data from an offshore IP address at 3 a.m., the system could flag this as a potential threat. Similarly, large-scale data exports, repeated failed logins, or unauthorized access to restricted APIs are indicative of potential insider misuse. Behavioral monitoring not only helps detect malicious intent but also prevents accidental data leakage caused by human error or poor security hygiene.</w:t>
      </w:r>
    </w:p>
    <w:p w14:paraId="654B72F1" w14:textId="77777777" w:rsidR="008839CB" w:rsidRPr="007D5FE6" w:rsidRDefault="008839CB" w:rsidP="007D5FE6">
      <w:pPr>
        <w:spacing w:line="276" w:lineRule="auto"/>
        <w:jc w:val="both"/>
        <w:rPr>
          <w:rFonts w:ascii="Sylfaen" w:hAnsi="Sylfaen"/>
          <w:sz w:val="22"/>
          <w:szCs w:val="22"/>
        </w:rPr>
      </w:pPr>
      <w:r w:rsidRPr="007D5FE6">
        <w:rPr>
          <w:rFonts w:ascii="Sylfaen" w:hAnsi="Sylfaen"/>
          <w:sz w:val="22"/>
          <w:szCs w:val="22"/>
        </w:rPr>
        <w:t xml:space="preserve">In a secure payment environment, behavior monitoring tools should be tightly integrated with Security Information and Event Management (SIEM) </w:t>
      </w:r>
      <w:r w:rsidRPr="007D5FE6">
        <w:rPr>
          <w:rFonts w:ascii="Sylfaen" w:hAnsi="Sylfaen"/>
          <w:sz w:val="22"/>
          <w:szCs w:val="22"/>
        </w:rPr>
        <w:lastRenderedPageBreak/>
        <w:t>platforms, which consolidate logs from across the infrastructure and offer real-time threat intelligence. To avoid excessive false positives, machine learning models should be trained on contextual data such as role changes, project assignments, or known business processes. When suspicious behavior is detected, automated workflows can initiate access revocation, user session termination, or escalation to incident response teams.</w:t>
      </w:r>
    </w:p>
    <w:p w14:paraId="1A8583DC" w14:textId="77777777" w:rsidR="008839CB" w:rsidRPr="007D5FE6" w:rsidRDefault="008839CB" w:rsidP="007D5FE6">
      <w:pPr>
        <w:pStyle w:val="Heading3"/>
        <w:keepNext w:val="0"/>
        <w:numPr>
          <w:ilvl w:val="0"/>
          <w:numId w:val="0"/>
        </w:numPr>
        <w:tabs>
          <w:tab w:val="clear" w:pos="360"/>
          <w:tab w:val="clear" w:pos="432"/>
        </w:tabs>
        <w:spacing w:before="0" w:after="0" w:line="276" w:lineRule="auto"/>
        <w:jc w:val="both"/>
        <w:rPr>
          <w:rFonts w:ascii="Sylfaen" w:hAnsi="Sylfaen"/>
          <w:b w:val="0"/>
          <w:color w:val="000000"/>
          <w:sz w:val="22"/>
          <w:szCs w:val="22"/>
        </w:rPr>
      </w:pPr>
      <w:bookmarkStart w:id="18" w:name="_w1zmxcw6b0d" w:colFirst="0" w:colLast="0"/>
      <w:bookmarkEnd w:id="18"/>
      <w:r w:rsidRPr="007D5FE6">
        <w:rPr>
          <w:rFonts w:ascii="Sylfaen" w:hAnsi="Sylfaen"/>
          <w:color w:val="000000"/>
          <w:sz w:val="22"/>
          <w:szCs w:val="22"/>
        </w:rPr>
        <w:t>5.3 Third-Party and Vendor Risk Management</w:t>
      </w:r>
    </w:p>
    <w:p w14:paraId="0F204F83" w14:textId="77777777" w:rsidR="008839CB" w:rsidRPr="007D5FE6" w:rsidRDefault="008839CB" w:rsidP="007D5FE6">
      <w:pPr>
        <w:spacing w:line="276" w:lineRule="auto"/>
        <w:jc w:val="both"/>
        <w:rPr>
          <w:rFonts w:ascii="Sylfaen" w:hAnsi="Sylfaen"/>
          <w:sz w:val="22"/>
          <w:szCs w:val="22"/>
        </w:rPr>
      </w:pPr>
      <w:r w:rsidRPr="007D5FE6">
        <w:rPr>
          <w:rFonts w:ascii="Sylfaen" w:hAnsi="Sylfaen"/>
          <w:sz w:val="22"/>
          <w:szCs w:val="22"/>
        </w:rPr>
        <w:t>Outsourcing and third-party service integration are essential for scaling modern payment platforms, but they also introduce new vectors for internal compromise. Vendors may provide cloud hosting, payment gateway services, customer support platforms, or security tooling—but if not managed properly, they can become inadvertent conduits for insider threats. Third-party risk management (TPRM) thus becomes a critical pillar of internal security.</w:t>
      </w:r>
    </w:p>
    <w:p w14:paraId="65971E18" w14:textId="77777777" w:rsidR="008839CB" w:rsidRPr="007D5FE6" w:rsidRDefault="008839CB" w:rsidP="007D5FE6">
      <w:pPr>
        <w:spacing w:line="276" w:lineRule="auto"/>
        <w:jc w:val="both"/>
        <w:rPr>
          <w:rFonts w:ascii="Sylfaen" w:hAnsi="Sylfaen"/>
          <w:sz w:val="22"/>
          <w:szCs w:val="22"/>
        </w:rPr>
      </w:pPr>
      <w:r w:rsidRPr="007D5FE6">
        <w:rPr>
          <w:rFonts w:ascii="Sylfaen" w:hAnsi="Sylfaen"/>
          <w:sz w:val="22"/>
          <w:szCs w:val="22"/>
        </w:rPr>
        <w:t>Organizations must begin with rigorous vendor vetting and onboarding, which includes assessing the provider’s security certifications (e.g., ISO 27001, SOC 2), incident response procedures, data handling policies, and historical performance. Contracts should stipulate clear security responsibilities, audit rights, and service-level agreements (SLAs) related to data privacy, breach notification, and system availability.</w:t>
      </w:r>
    </w:p>
    <w:p w14:paraId="716A5FD3" w14:textId="77777777" w:rsidR="008839CB" w:rsidRPr="007D5FE6" w:rsidRDefault="008839CB" w:rsidP="007D5FE6">
      <w:pPr>
        <w:spacing w:line="276" w:lineRule="auto"/>
        <w:jc w:val="both"/>
        <w:rPr>
          <w:rFonts w:ascii="Sylfaen" w:hAnsi="Sylfaen"/>
          <w:sz w:val="22"/>
          <w:szCs w:val="22"/>
        </w:rPr>
      </w:pPr>
      <w:r w:rsidRPr="007D5FE6">
        <w:rPr>
          <w:rFonts w:ascii="Sylfaen" w:hAnsi="Sylfaen"/>
          <w:sz w:val="22"/>
          <w:szCs w:val="22"/>
        </w:rPr>
        <w:t>Access given to vendors must be segmented, time-bound, and monitored. For instance, a vendor tasked with maintaining an analytics dashboard should not have access to production databases or payment authorization services. Zero Trust Network Access (ZTNA) models can restrict vendor connections to specific systems through secure tunnels and policy-based controls. Additionally, vendor risk assessments must be conducted periodically, and any system integrations should be included in the organization’s broader threat modeling exercises.</w:t>
      </w:r>
    </w:p>
    <w:p w14:paraId="18EB0B14" w14:textId="77777777" w:rsidR="008839CB" w:rsidRPr="007D5FE6" w:rsidRDefault="008839CB" w:rsidP="007D5FE6">
      <w:pPr>
        <w:spacing w:line="276" w:lineRule="auto"/>
        <w:jc w:val="both"/>
        <w:rPr>
          <w:rFonts w:ascii="Sylfaen" w:hAnsi="Sylfaen"/>
          <w:sz w:val="22"/>
          <w:szCs w:val="22"/>
        </w:rPr>
      </w:pPr>
      <w:r w:rsidRPr="007D5FE6">
        <w:rPr>
          <w:rFonts w:ascii="Sylfaen" w:hAnsi="Sylfaen"/>
          <w:sz w:val="22"/>
          <w:szCs w:val="22"/>
        </w:rPr>
        <w:t xml:space="preserve">To ensure end-to-end security visibility, organizations should include vendor systems in their SIEM and UEBA monitoring infrastructure. Alerts related to </w:t>
      </w:r>
      <w:r w:rsidRPr="007D5FE6">
        <w:rPr>
          <w:rFonts w:ascii="Sylfaen" w:hAnsi="Sylfaen"/>
          <w:sz w:val="22"/>
          <w:szCs w:val="22"/>
        </w:rPr>
        <w:t>vendor behavior—such as abnormal API calls, unauthorized login attempts, or data extraction activity—must be prioritized and investigated promptly. Cyber insurance, breach liability clauses, and regular third-party audits further fortify the ecosystem against cascading internal threats originating beyond organizational boundaries.</w:t>
      </w:r>
    </w:p>
    <w:p w14:paraId="0C14C7A0" w14:textId="77777777" w:rsidR="008839CB" w:rsidRPr="007D5FE6" w:rsidRDefault="008839CB" w:rsidP="007D5FE6">
      <w:pPr>
        <w:pStyle w:val="Heading3"/>
        <w:keepNext w:val="0"/>
        <w:numPr>
          <w:ilvl w:val="0"/>
          <w:numId w:val="0"/>
        </w:numPr>
        <w:tabs>
          <w:tab w:val="clear" w:pos="360"/>
          <w:tab w:val="clear" w:pos="432"/>
        </w:tabs>
        <w:spacing w:before="0" w:after="0" w:line="276" w:lineRule="auto"/>
        <w:jc w:val="both"/>
        <w:rPr>
          <w:rFonts w:ascii="Sylfaen" w:hAnsi="Sylfaen"/>
          <w:b w:val="0"/>
          <w:color w:val="000000"/>
          <w:sz w:val="22"/>
          <w:szCs w:val="22"/>
        </w:rPr>
      </w:pPr>
      <w:bookmarkStart w:id="19" w:name="_72ucypxioi2v" w:colFirst="0" w:colLast="0"/>
      <w:bookmarkEnd w:id="19"/>
      <w:r w:rsidRPr="007D5FE6">
        <w:rPr>
          <w:rFonts w:ascii="Sylfaen" w:hAnsi="Sylfaen"/>
          <w:color w:val="000000"/>
          <w:sz w:val="22"/>
          <w:szCs w:val="22"/>
        </w:rPr>
        <w:t>6. Preparing for the Quantum Threat Landscape</w:t>
      </w:r>
    </w:p>
    <w:p w14:paraId="143AF1EF" w14:textId="77777777" w:rsidR="008839CB" w:rsidRPr="007D5FE6" w:rsidRDefault="008839CB" w:rsidP="007D5FE6">
      <w:pPr>
        <w:spacing w:line="276" w:lineRule="auto"/>
        <w:jc w:val="both"/>
        <w:rPr>
          <w:rFonts w:ascii="Sylfaen" w:hAnsi="Sylfaen"/>
          <w:sz w:val="22"/>
          <w:szCs w:val="22"/>
        </w:rPr>
      </w:pPr>
      <w:r w:rsidRPr="007D5FE6">
        <w:rPr>
          <w:rFonts w:ascii="Sylfaen" w:hAnsi="Sylfaen"/>
          <w:sz w:val="22"/>
          <w:szCs w:val="22"/>
        </w:rPr>
        <w:t>The emerging quantum computing era represents a significant paradigm shift in computational capabilities, carrying both revolutionary potential and considerable risk—especially for digital security. While classical cryptography has underpinned payment system security for decades, quantum computers threaten to undermine these foundations by solving complex mathematical problems exponentially faster than traditional systems. Specifically, public-key encryption algorithms like RSA, ECC (Elliptic Curve Cryptography), and Diffie-Hellman—commonly used to secure digital payments and APIs—are vulnerable to quantum algorithms such as Shor’s algorithm. As the global financial infrastructure increasingly depends on digital transactions, preparing for quantum-era threats is no longer optional but a strategic imperative for developers, fintech architects, and regulatory agencies alike.</w:t>
      </w:r>
    </w:p>
    <w:p w14:paraId="34602921" w14:textId="77777777" w:rsidR="008839CB" w:rsidRPr="007D5FE6" w:rsidRDefault="008839CB" w:rsidP="007D5FE6">
      <w:pPr>
        <w:pStyle w:val="Heading4"/>
        <w:keepNext w:val="0"/>
        <w:spacing w:before="0" w:after="0" w:line="276" w:lineRule="auto"/>
        <w:ind w:left="0" w:firstLine="0"/>
        <w:jc w:val="both"/>
        <w:rPr>
          <w:rFonts w:ascii="Sylfaen" w:hAnsi="Sylfaen"/>
          <w:b/>
          <w:color w:val="000000"/>
          <w:sz w:val="22"/>
          <w:szCs w:val="22"/>
        </w:rPr>
      </w:pPr>
      <w:bookmarkStart w:id="20" w:name="_j4r1004dkiwx" w:colFirst="0" w:colLast="0"/>
      <w:bookmarkEnd w:id="20"/>
      <w:r w:rsidRPr="007D5FE6">
        <w:rPr>
          <w:rFonts w:ascii="Sylfaen" w:hAnsi="Sylfaen"/>
          <w:b/>
          <w:color w:val="000000"/>
          <w:sz w:val="22"/>
          <w:szCs w:val="22"/>
        </w:rPr>
        <w:t>6.1 Timeline and Threat Modeling for Post-Quantum Risk</w:t>
      </w:r>
    </w:p>
    <w:p w14:paraId="68169F84" w14:textId="77777777" w:rsidR="008839CB" w:rsidRPr="007D5FE6" w:rsidRDefault="008839CB" w:rsidP="007D5FE6">
      <w:pPr>
        <w:spacing w:line="276" w:lineRule="auto"/>
        <w:jc w:val="both"/>
        <w:rPr>
          <w:rFonts w:ascii="Sylfaen" w:hAnsi="Sylfaen"/>
          <w:sz w:val="22"/>
          <w:szCs w:val="22"/>
        </w:rPr>
      </w:pPr>
      <w:r w:rsidRPr="007D5FE6">
        <w:rPr>
          <w:rFonts w:ascii="Sylfaen" w:hAnsi="Sylfaen"/>
          <w:sz w:val="22"/>
          <w:szCs w:val="22"/>
        </w:rPr>
        <w:t xml:space="preserve">Though fully functional large-scale quantum computers do not yet exist, rapid progress by governments and tech companies indicates their feasibility within the next 10 to 20 years. The National Institute of Standards and Technology (NIST) has initiated a post-quantum cryptography (PQC) standardization process, already selecting candidate algorithms in anticipation of future deployment. However, the "harvest now, decrypt later" threat model is already actionable—malicious actors can intercept and store encrypted data today with the intention of decrypting it once quantum capabilities </w:t>
      </w:r>
      <w:r w:rsidRPr="007D5FE6">
        <w:rPr>
          <w:rFonts w:ascii="Sylfaen" w:hAnsi="Sylfaen"/>
          <w:sz w:val="22"/>
          <w:szCs w:val="22"/>
        </w:rPr>
        <w:lastRenderedPageBreak/>
        <w:t>mature. For financial institutions, this implies that transaction data, account credentials, or API secrets intercepted in the present could be compromised in the future, even if encrypted using currently secure protocols. Thus, quantum threat modeling must extend beyond technical readiness and account for long-term data confidentiality risks, backward compatibility vulnerabilities, and legacy protocol dependencies.</w:t>
      </w:r>
    </w:p>
    <w:p w14:paraId="46F28490" w14:textId="77777777" w:rsidR="008839CB" w:rsidRPr="007D5FE6" w:rsidRDefault="008839CB" w:rsidP="007D5FE6">
      <w:pPr>
        <w:pStyle w:val="Heading4"/>
        <w:keepNext w:val="0"/>
        <w:spacing w:before="0" w:after="0" w:line="276" w:lineRule="auto"/>
        <w:ind w:left="0" w:firstLine="0"/>
        <w:jc w:val="both"/>
        <w:rPr>
          <w:rFonts w:ascii="Sylfaen" w:hAnsi="Sylfaen"/>
          <w:b/>
          <w:color w:val="000000"/>
          <w:sz w:val="22"/>
          <w:szCs w:val="22"/>
        </w:rPr>
      </w:pPr>
      <w:bookmarkStart w:id="21" w:name="_z4x749jf7s4k" w:colFirst="0" w:colLast="0"/>
      <w:bookmarkEnd w:id="21"/>
      <w:r w:rsidRPr="007D5FE6">
        <w:rPr>
          <w:rFonts w:ascii="Sylfaen" w:hAnsi="Sylfaen"/>
          <w:b/>
          <w:color w:val="000000"/>
          <w:sz w:val="22"/>
          <w:szCs w:val="22"/>
        </w:rPr>
        <w:t>6.2 Survey of Quantum-Safe Encryption Algorithms</w:t>
      </w:r>
    </w:p>
    <w:p w14:paraId="60D45A95" w14:textId="77777777" w:rsidR="008839CB" w:rsidRPr="007D5FE6" w:rsidRDefault="008839CB" w:rsidP="007D5FE6">
      <w:pPr>
        <w:spacing w:line="276" w:lineRule="auto"/>
        <w:jc w:val="both"/>
        <w:rPr>
          <w:rFonts w:ascii="Sylfaen" w:hAnsi="Sylfaen"/>
          <w:sz w:val="22"/>
          <w:szCs w:val="22"/>
        </w:rPr>
      </w:pPr>
      <w:r w:rsidRPr="007D5FE6">
        <w:rPr>
          <w:rFonts w:ascii="Sylfaen" w:hAnsi="Sylfaen"/>
          <w:sz w:val="22"/>
          <w:szCs w:val="22"/>
        </w:rPr>
        <w:t>As quantum computing challenges conventional encryption, researchers and standardization bodies have developed a suite of quantum-safe, or post-quantum, cryptographic algorithms. These include lattice-based, code-based, hash-based, multivariate, and isogeny-based cryptosystems, each with unique advantages and trade-offs in terms of computational complexity, key sizes, and implementation overhead. Among the NIST-approved finalists, lattice-based algorithms like CRYSTALS-Kyber (for key encapsulation) and CRYSTALS-Dilithium (for digital signatures) stand out for their performance, efficiency, and resistance to known quantum attacks. Hash-based signatures such as SPHINCS are also notable for their strong security guarantees, albeit with higher computational demands. Importantly, these algorithms are not drop-in replacements; their larger key sizes and novel cryptographic structures require rethinking how APIs, digital wallets, and transaction validation systems are built and secured. Developers must carefully assess implementation complexity, algorithm maturity, and ecosystem readiness before transitioning mission-critical components of payment infrastructure.</w:t>
      </w:r>
    </w:p>
    <w:p w14:paraId="4DA3F0E7" w14:textId="77777777" w:rsidR="008839CB" w:rsidRPr="007D5FE6" w:rsidRDefault="008839CB" w:rsidP="007D5FE6">
      <w:pPr>
        <w:pStyle w:val="Heading4"/>
        <w:keepNext w:val="0"/>
        <w:spacing w:before="0" w:after="0" w:line="276" w:lineRule="auto"/>
        <w:ind w:left="0" w:firstLine="0"/>
        <w:jc w:val="both"/>
        <w:rPr>
          <w:rFonts w:ascii="Sylfaen" w:hAnsi="Sylfaen"/>
          <w:b/>
          <w:color w:val="000000"/>
          <w:sz w:val="22"/>
          <w:szCs w:val="22"/>
        </w:rPr>
      </w:pPr>
      <w:bookmarkStart w:id="22" w:name="_rrg0f6a70lz6" w:colFirst="0" w:colLast="0"/>
      <w:bookmarkEnd w:id="22"/>
      <w:r w:rsidRPr="007D5FE6">
        <w:rPr>
          <w:rFonts w:ascii="Sylfaen" w:hAnsi="Sylfaen"/>
          <w:b/>
          <w:color w:val="000000"/>
          <w:sz w:val="22"/>
          <w:szCs w:val="22"/>
        </w:rPr>
        <w:t>6.3 Integration Roadmaps for Quantum-Resilient Payment Systems</w:t>
      </w:r>
    </w:p>
    <w:p w14:paraId="255DA18A" w14:textId="77777777" w:rsidR="008839CB" w:rsidRPr="007D5FE6" w:rsidRDefault="008839CB" w:rsidP="007D5FE6">
      <w:pPr>
        <w:spacing w:line="276" w:lineRule="auto"/>
        <w:jc w:val="both"/>
        <w:rPr>
          <w:rFonts w:ascii="Sylfaen" w:hAnsi="Sylfaen"/>
          <w:sz w:val="22"/>
          <w:szCs w:val="22"/>
        </w:rPr>
      </w:pPr>
      <w:r w:rsidRPr="007D5FE6">
        <w:rPr>
          <w:rFonts w:ascii="Sylfaen" w:hAnsi="Sylfaen"/>
          <w:sz w:val="22"/>
          <w:szCs w:val="22"/>
        </w:rPr>
        <w:t xml:space="preserve">Integrating quantum-safe algorithms into existing payment systems is a multifaceted challenge that extends beyond cryptographic substitution. Organizations must adopt a phased, dual-stack approach—initially supporting both classical and </w:t>
      </w:r>
      <w:r w:rsidRPr="007D5FE6">
        <w:rPr>
          <w:rFonts w:ascii="Sylfaen" w:hAnsi="Sylfaen"/>
          <w:sz w:val="22"/>
          <w:szCs w:val="22"/>
        </w:rPr>
        <w:t>quantum-safe algorithms to ensure interoperability and minimize disruptions. This process begins with a comprehensive crypto inventory audit to identify systems reliant on vulnerable encryption methods, such as RSA-based tokenization or TLS configurations. Next, critical systems must be prioritized for migration, including authentication servers, payment gateways, key management systems (KMS), and third-party API interfaces. Integration efforts should also incorporate hybrid cryptographic models, where both classical and post-quantum algorithms are used concurrently to enhance redundancy during the transitional phase.</w:t>
      </w:r>
    </w:p>
    <w:p w14:paraId="140AF9E3" w14:textId="77777777" w:rsidR="008839CB" w:rsidRPr="007D5FE6" w:rsidRDefault="008839CB" w:rsidP="007D5FE6">
      <w:pPr>
        <w:spacing w:line="276" w:lineRule="auto"/>
        <w:jc w:val="both"/>
        <w:rPr>
          <w:rFonts w:ascii="Sylfaen" w:hAnsi="Sylfaen"/>
          <w:sz w:val="22"/>
          <w:szCs w:val="22"/>
        </w:rPr>
      </w:pPr>
      <w:r w:rsidRPr="007D5FE6">
        <w:rPr>
          <w:rFonts w:ascii="Sylfaen" w:hAnsi="Sylfaen"/>
          <w:sz w:val="22"/>
          <w:szCs w:val="22"/>
        </w:rPr>
        <w:t>Furthermore, updates to security governance policies are essential to accommodate quantum-aware risk assessments and compliance reporting. Regulatory guidance on quantum migration—still nascent in many regions—must evolve in parallel, prompting proactive collaboration between developers, banks, and standardization bodies. Testing and validation frameworks also require adaptation, ensuring that quantum-resilient components maintain performance and security integrity under real-world load and attack conditions. Finally, open-source tooling and industry-wide sandboxes can accelerate experimentation and knowledge sharing. Payment platforms that embrace these roadmaps will be well-positioned to future-proof their infrastructure, ensuring data confidentiality, transaction integrity, and trust in the post-quantum financial era.</w:t>
      </w:r>
    </w:p>
    <w:p w14:paraId="04212946" w14:textId="77777777" w:rsidR="008839CB" w:rsidRPr="007D5FE6" w:rsidRDefault="008839CB" w:rsidP="007D5FE6">
      <w:pPr>
        <w:pStyle w:val="Heading3"/>
        <w:keepNext w:val="0"/>
        <w:numPr>
          <w:ilvl w:val="0"/>
          <w:numId w:val="0"/>
        </w:numPr>
        <w:tabs>
          <w:tab w:val="clear" w:pos="360"/>
          <w:tab w:val="clear" w:pos="432"/>
        </w:tabs>
        <w:spacing w:before="0" w:after="0" w:line="276" w:lineRule="auto"/>
        <w:jc w:val="both"/>
        <w:rPr>
          <w:rFonts w:ascii="Sylfaen" w:hAnsi="Sylfaen"/>
          <w:b w:val="0"/>
          <w:color w:val="000000"/>
          <w:sz w:val="22"/>
          <w:szCs w:val="22"/>
        </w:rPr>
      </w:pPr>
      <w:bookmarkStart w:id="23" w:name="_4dp03hrt5zow" w:colFirst="0" w:colLast="0"/>
      <w:bookmarkEnd w:id="23"/>
      <w:r w:rsidRPr="007D5FE6">
        <w:rPr>
          <w:rFonts w:ascii="Sylfaen" w:hAnsi="Sylfaen"/>
          <w:color w:val="000000"/>
          <w:sz w:val="22"/>
          <w:szCs w:val="22"/>
        </w:rPr>
        <w:t>7. Modernizing Legacy Infrastructure with Next-Gen Security</w:t>
      </w:r>
    </w:p>
    <w:p w14:paraId="07391190" w14:textId="77777777" w:rsidR="008839CB" w:rsidRPr="007D5FE6" w:rsidRDefault="008839CB" w:rsidP="007D5FE6">
      <w:pPr>
        <w:pStyle w:val="Heading4"/>
        <w:keepNext w:val="0"/>
        <w:spacing w:before="0" w:after="0" w:line="276" w:lineRule="auto"/>
        <w:ind w:left="0" w:firstLine="0"/>
        <w:jc w:val="both"/>
        <w:rPr>
          <w:rFonts w:ascii="Sylfaen" w:hAnsi="Sylfaen"/>
          <w:b/>
          <w:color w:val="000000"/>
          <w:sz w:val="22"/>
          <w:szCs w:val="22"/>
        </w:rPr>
      </w:pPr>
      <w:bookmarkStart w:id="24" w:name="_t6bzbyle3qu1" w:colFirst="0" w:colLast="0"/>
      <w:bookmarkEnd w:id="24"/>
      <w:r w:rsidRPr="007D5FE6">
        <w:rPr>
          <w:rFonts w:ascii="Sylfaen" w:hAnsi="Sylfaen"/>
          <w:b/>
          <w:color w:val="000000"/>
          <w:sz w:val="22"/>
          <w:szCs w:val="22"/>
        </w:rPr>
        <w:t>7.1 Compatibility Barriers in Hybrid System Environments</w:t>
      </w:r>
    </w:p>
    <w:p w14:paraId="33637E75" w14:textId="77777777" w:rsidR="008839CB" w:rsidRPr="007D5FE6" w:rsidRDefault="008839CB" w:rsidP="007D5FE6">
      <w:pPr>
        <w:spacing w:line="276" w:lineRule="auto"/>
        <w:jc w:val="both"/>
        <w:rPr>
          <w:rFonts w:ascii="Sylfaen" w:hAnsi="Sylfaen"/>
          <w:sz w:val="22"/>
          <w:szCs w:val="22"/>
        </w:rPr>
      </w:pPr>
      <w:r w:rsidRPr="007D5FE6">
        <w:rPr>
          <w:rFonts w:ascii="Sylfaen" w:hAnsi="Sylfaen"/>
          <w:sz w:val="22"/>
          <w:szCs w:val="22"/>
        </w:rPr>
        <w:t xml:space="preserve">As financial institutions increasingly adopt digital-first strategies, they often find themselves operating in hybrid environments, where legacy core banking systems coexist with modern applications and cloud-native services. This hybridization poses significant compatibility challenges, especially in the realm of cybersecurity. Traditional systems, built decades ago, </w:t>
      </w:r>
      <w:r w:rsidRPr="007D5FE6">
        <w:rPr>
          <w:rFonts w:ascii="Sylfaen" w:hAnsi="Sylfaen"/>
          <w:sz w:val="22"/>
          <w:szCs w:val="22"/>
        </w:rPr>
        <w:lastRenderedPageBreak/>
        <w:t>were never designed to integrate with APIs, microservices, or containerized architectures now common in modern development. As a result, enforcing secure communication protocols, identity authentication, and consistent access controls across both environments becomes difficult. Additionally, legacy platforms may still rely on outdated encryption algorithms, static credentials, or even hardcoded configurations, which expose vulnerabilities in an otherwise secure environment. Integration layers between legacy databases and modern payment gateways are often custom-built and lack robust input validation, making them prime targets for injection and data manipulation attacks. The lack of visibility and auditability across siloed systems further complicates security enforcement and incident response. To fully realize next-generation payment security, institutions must first overcome the fragmented nature of hybrid IT infrastructures by establishing compatibility standards, enforcing consistent security policies across systems, and investing in secure interoperability frameworks.</w:t>
      </w:r>
    </w:p>
    <w:p w14:paraId="0AF70A60" w14:textId="77777777" w:rsidR="008839CB" w:rsidRPr="007D5FE6" w:rsidRDefault="008839CB" w:rsidP="007D5FE6">
      <w:pPr>
        <w:pStyle w:val="Heading4"/>
        <w:keepNext w:val="0"/>
        <w:spacing w:before="0" w:after="0" w:line="276" w:lineRule="auto"/>
        <w:ind w:left="0" w:firstLine="0"/>
        <w:jc w:val="both"/>
        <w:rPr>
          <w:rFonts w:ascii="Sylfaen" w:hAnsi="Sylfaen"/>
          <w:b/>
          <w:color w:val="000000"/>
          <w:sz w:val="22"/>
          <w:szCs w:val="22"/>
        </w:rPr>
      </w:pPr>
      <w:bookmarkStart w:id="25" w:name="_vpsg1jxohdb0" w:colFirst="0" w:colLast="0"/>
      <w:bookmarkEnd w:id="25"/>
      <w:r w:rsidRPr="007D5FE6">
        <w:rPr>
          <w:rFonts w:ascii="Sylfaen" w:hAnsi="Sylfaen"/>
          <w:b/>
          <w:color w:val="000000"/>
          <w:sz w:val="22"/>
          <w:szCs w:val="22"/>
        </w:rPr>
        <w:t>7.2 Migration Strategies for Legacy Core Banking Systems</w:t>
      </w:r>
    </w:p>
    <w:p w14:paraId="4255BD5F" w14:textId="77777777" w:rsidR="008839CB" w:rsidRPr="007D5FE6" w:rsidRDefault="008839CB" w:rsidP="007D5FE6">
      <w:pPr>
        <w:spacing w:line="276" w:lineRule="auto"/>
        <w:jc w:val="both"/>
        <w:rPr>
          <w:rFonts w:ascii="Sylfaen" w:hAnsi="Sylfaen"/>
          <w:sz w:val="22"/>
          <w:szCs w:val="22"/>
        </w:rPr>
      </w:pPr>
      <w:r w:rsidRPr="007D5FE6">
        <w:rPr>
          <w:rFonts w:ascii="Sylfaen" w:hAnsi="Sylfaen"/>
          <w:sz w:val="22"/>
          <w:szCs w:val="22"/>
        </w:rPr>
        <w:t xml:space="preserve">Migrating from legacy banking systems to modern, secure platforms is not only a technical imperative but a strategic one, as outdated architectures increasingly struggle to keep pace with emerging cyber threats and compliance demands. Effective migration strategies must begin with comprehensive system assessments, including architectural audits, dependency mapping, and risk analysis to identify the most critical components for modernization. A phased or modular migration is often preferred over a "big bang" approach, allowing institutions to progressively modernize specific functions such as customer authentication, transaction processing, or fraud detection while minimizing service disruption. One recommended method is strangler fig architecture, where new secure microservices are deployed alongside existing monoliths and gradually </w:t>
      </w:r>
      <w:r w:rsidRPr="007D5FE6">
        <w:rPr>
          <w:rFonts w:ascii="Sylfaen" w:hAnsi="Sylfaen"/>
          <w:sz w:val="22"/>
          <w:szCs w:val="22"/>
        </w:rPr>
        <w:t>take over their responsibilities. During migration, data integrity and security must be paramount—this includes encrypting data in transit and at rest, securing database access, and auditing all data transformation processes. Legacy applications can also be encapsulated via API gateways that enforce modern authentication standards such as OAuth 2.0 or OpenID Connect, providing a temporary bridge to secure cloud-based systems. Ultimately, the success of such transformations depends on cross-functional collaboration between security architects, developers, compliance officers, and business stakeholders to ensure that modernization aligns with security, performance, and regulatory goals.</w:t>
      </w:r>
    </w:p>
    <w:p w14:paraId="6E4EBDB3" w14:textId="77777777" w:rsidR="008839CB" w:rsidRPr="007D5FE6" w:rsidRDefault="008839CB" w:rsidP="007D5FE6">
      <w:pPr>
        <w:pStyle w:val="Heading4"/>
        <w:keepNext w:val="0"/>
        <w:spacing w:before="0" w:after="0" w:line="276" w:lineRule="auto"/>
        <w:ind w:left="0" w:firstLine="0"/>
        <w:jc w:val="both"/>
        <w:rPr>
          <w:rFonts w:ascii="Sylfaen" w:hAnsi="Sylfaen"/>
          <w:b/>
          <w:color w:val="000000"/>
          <w:sz w:val="22"/>
          <w:szCs w:val="22"/>
        </w:rPr>
      </w:pPr>
      <w:bookmarkStart w:id="26" w:name="_luf18wr0x58c" w:colFirst="0" w:colLast="0"/>
      <w:bookmarkEnd w:id="26"/>
      <w:r w:rsidRPr="007D5FE6">
        <w:rPr>
          <w:rFonts w:ascii="Sylfaen" w:hAnsi="Sylfaen"/>
          <w:b/>
          <w:color w:val="000000"/>
          <w:sz w:val="22"/>
          <w:szCs w:val="22"/>
        </w:rPr>
        <w:t>7.3 Middleware and Interoperability Layers for Secure Integration</w:t>
      </w:r>
    </w:p>
    <w:p w14:paraId="5DD07436" w14:textId="77777777" w:rsidR="008839CB" w:rsidRPr="007D5FE6" w:rsidRDefault="008839CB" w:rsidP="007D5FE6">
      <w:pPr>
        <w:spacing w:line="276" w:lineRule="auto"/>
        <w:jc w:val="both"/>
        <w:rPr>
          <w:rFonts w:ascii="Sylfaen" w:hAnsi="Sylfaen"/>
          <w:sz w:val="22"/>
          <w:szCs w:val="22"/>
        </w:rPr>
      </w:pPr>
      <w:r w:rsidRPr="007D5FE6">
        <w:rPr>
          <w:rFonts w:ascii="Sylfaen" w:hAnsi="Sylfaen"/>
          <w:sz w:val="22"/>
          <w:szCs w:val="22"/>
        </w:rPr>
        <w:t xml:space="preserve">Middleware acts as a critical enabler in bridging the gap between legacy systems and modern platforms, facilitating secure data exchange, process orchestration, and protocol translation. In the context of secure payment systems, middleware solutions must offer more than just connectivity—they must also enforce security policies, manage identity propagation, and provide real-time monitoring of data flows. Secure interoperability layers should include features like role-based access controls (RBAC), encryption at all integration points, message validation, and transaction logging. API gateways and Enterprise Service Buses (ESBs) are often deployed as middleware components to normalize communication between heterogeneous systems, apply traffic throttling, and enforce schema-based input validation to prevent injection attacks. Furthermore, integrating middleware with Security Information and Event Management (SIEM) systems can offer proactive threat detection across transaction pathways. Middleware should also be flexible enough to adapt to changing compliance landscapes, enabling dynamic policy updates and security rule enforcement across jurisdictions. When properly implemented, a secure middleware layer ensures not only the functional </w:t>
      </w:r>
      <w:r w:rsidRPr="007D5FE6">
        <w:rPr>
          <w:rFonts w:ascii="Sylfaen" w:hAnsi="Sylfaen"/>
          <w:sz w:val="22"/>
          <w:szCs w:val="22"/>
        </w:rPr>
        <w:lastRenderedPageBreak/>
        <w:t>continuity of legacy systems but also elevates the overall security posture of the integrated payment ecosystem—offering institutions a pathway to innovation without compromising on safety.</w:t>
      </w:r>
    </w:p>
    <w:p w14:paraId="210722F2" w14:textId="77777777" w:rsidR="008839CB" w:rsidRPr="007D5FE6" w:rsidRDefault="008839CB" w:rsidP="007D5FE6">
      <w:pPr>
        <w:pStyle w:val="Heading3"/>
        <w:keepNext w:val="0"/>
        <w:numPr>
          <w:ilvl w:val="0"/>
          <w:numId w:val="0"/>
        </w:numPr>
        <w:tabs>
          <w:tab w:val="clear" w:pos="360"/>
          <w:tab w:val="clear" w:pos="432"/>
        </w:tabs>
        <w:spacing w:before="0" w:after="0" w:line="276" w:lineRule="auto"/>
        <w:jc w:val="both"/>
        <w:rPr>
          <w:rFonts w:ascii="Sylfaen" w:hAnsi="Sylfaen"/>
          <w:b w:val="0"/>
          <w:color w:val="000000"/>
          <w:sz w:val="22"/>
          <w:szCs w:val="22"/>
        </w:rPr>
      </w:pPr>
      <w:bookmarkStart w:id="27" w:name="_6ci48c8avb5y" w:colFirst="0" w:colLast="0"/>
      <w:bookmarkEnd w:id="27"/>
      <w:r w:rsidRPr="007D5FE6">
        <w:rPr>
          <w:rFonts w:ascii="Sylfaen" w:hAnsi="Sylfaen"/>
          <w:color w:val="000000"/>
          <w:sz w:val="22"/>
          <w:szCs w:val="22"/>
        </w:rPr>
        <w:t>8. Cost, Scalability, and Practical Adoption Models</w:t>
      </w:r>
    </w:p>
    <w:p w14:paraId="29D463E6" w14:textId="77777777" w:rsidR="008839CB" w:rsidRPr="007D5FE6" w:rsidRDefault="008839CB" w:rsidP="007D5FE6">
      <w:pPr>
        <w:spacing w:line="276" w:lineRule="auto"/>
        <w:jc w:val="both"/>
        <w:rPr>
          <w:rFonts w:ascii="Sylfaen" w:hAnsi="Sylfaen"/>
          <w:sz w:val="22"/>
          <w:szCs w:val="22"/>
        </w:rPr>
      </w:pPr>
      <w:r w:rsidRPr="007D5FE6">
        <w:rPr>
          <w:rFonts w:ascii="Sylfaen" w:hAnsi="Sylfaen"/>
          <w:sz w:val="22"/>
          <w:szCs w:val="22"/>
        </w:rPr>
        <w:t>As digital payment systems continue to expand in scope and complexity, organizations are often faced with the challenge of adopting robust security measures while balancing operational costs and scalability. Although advanced technologies such as real-time fraud detection, multi-factor authentication (MFA), and end-to-end encryption provide superior protection, their implementation can be financially and technically demanding. For many businesses—particularly small and medium-sized enterprises (SMEs)—the cost of building, integrating, and maintaining such secure infrastructure becomes a critical factor in adoption decisions. This section explores the financial implications of advanced security technologies, proposes framework adjustments based on organizational size, and examines how cloud-native architectures and automation can alleviate long-term operational burdens.</w:t>
      </w:r>
    </w:p>
    <w:p w14:paraId="54093B0E" w14:textId="77777777" w:rsidR="008839CB" w:rsidRPr="007D5FE6" w:rsidRDefault="008839CB" w:rsidP="007D5FE6">
      <w:pPr>
        <w:pStyle w:val="Heading4"/>
        <w:keepNext w:val="0"/>
        <w:spacing w:before="0" w:after="0" w:line="276" w:lineRule="auto"/>
        <w:ind w:left="0" w:firstLine="0"/>
        <w:jc w:val="both"/>
        <w:rPr>
          <w:rFonts w:ascii="Sylfaen" w:hAnsi="Sylfaen"/>
          <w:b/>
          <w:color w:val="000000"/>
          <w:sz w:val="22"/>
          <w:szCs w:val="22"/>
        </w:rPr>
      </w:pPr>
      <w:bookmarkStart w:id="28" w:name="_pn9fedtsvvit" w:colFirst="0" w:colLast="0"/>
      <w:bookmarkEnd w:id="28"/>
      <w:r w:rsidRPr="007D5FE6">
        <w:rPr>
          <w:rFonts w:ascii="Sylfaen" w:hAnsi="Sylfaen"/>
          <w:b/>
          <w:color w:val="000000"/>
          <w:sz w:val="22"/>
          <w:szCs w:val="22"/>
        </w:rPr>
        <w:t>8.1 Financial Impact of Implementing Advanced Security Measures</w:t>
      </w:r>
    </w:p>
    <w:p w14:paraId="012B7363" w14:textId="77777777" w:rsidR="008839CB" w:rsidRPr="007D5FE6" w:rsidRDefault="008839CB" w:rsidP="007D5FE6">
      <w:pPr>
        <w:spacing w:line="276" w:lineRule="auto"/>
        <w:jc w:val="both"/>
        <w:rPr>
          <w:rFonts w:ascii="Sylfaen" w:hAnsi="Sylfaen"/>
          <w:sz w:val="22"/>
          <w:szCs w:val="22"/>
        </w:rPr>
      </w:pPr>
      <w:r w:rsidRPr="007D5FE6">
        <w:rPr>
          <w:rFonts w:ascii="Sylfaen" w:hAnsi="Sylfaen"/>
          <w:sz w:val="22"/>
          <w:szCs w:val="22"/>
        </w:rPr>
        <w:t xml:space="preserve">The upfront and ongoing costs associated with securing smart payment systems can be substantial. Initial investments may include infrastructure upgrades, cybersecurity tools, developer training, compliance audits, and threat simulation platforms. For example, integrating biometric authentication or deploying machine learning-based fraud detection models often involves significant research, licensing, and specialized hardware costs. Additionally, the operational expenditure required for continuous monitoring, patch management, and incident response increases as systems scale. Organizations must also account for indirect costs such as potential downtime during implementation, user re-training, </w:t>
      </w:r>
      <w:r w:rsidRPr="007D5FE6">
        <w:rPr>
          <w:rFonts w:ascii="Sylfaen" w:hAnsi="Sylfaen"/>
          <w:sz w:val="22"/>
          <w:szCs w:val="22"/>
        </w:rPr>
        <w:t>and the legal implications of compliance failures if security systems are misconfigured or inadequate.</w:t>
      </w:r>
    </w:p>
    <w:p w14:paraId="7AF654A2" w14:textId="77777777" w:rsidR="008839CB" w:rsidRPr="007D5FE6" w:rsidRDefault="008839CB" w:rsidP="007D5FE6">
      <w:pPr>
        <w:spacing w:line="276" w:lineRule="auto"/>
        <w:jc w:val="both"/>
        <w:rPr>
          <w:rFonts w:ascii="Sylfaen" w:hAnsi="Sylfaen"/>
          <w:sz w:val="22"/>
          <w:szCs w:val="22"/>
        </w:rPr>
      </w:pPr>
      <w:r w:rsidRPr="007D5FE6">
        <w:rPr>
          <w:rFonts w:ascii="Sylfaen" w:hAnsi="Sylfaen"/>
          <w:sz w:val="22"/>
          <w:szCs w:val="22"/>
        </w:rPr>
        <w:t>Despite these costs, the long-term financial benefits of a secure payment system far outweigh the risks of data breaches or fraud incidents. A single successful attack can lead to reputational damage, regulatory penalties, and customer attrition—consequences that may severely impact business continuity. According to global cybersecurity reports, the average cost of a financial data breach runs into millions of dollars, particularly when personal data is compromised. Thus, proactive investment in security is not merely a defensive measure—it is a strategic financial decision that preserves trust and ensures regulatory survival.</w:t>
      </w:r>
    </w:p>
    <w:p w14:paraId="5719C97B" w14:textId="77777777" w:rsidR="008839CB" w:rsidRPr="007D5FE6" w:rsidRDefault="008839CB" w:rsidP="007D5FE6">
      <w:pPr>
        <w:pStyle w:val="Heading4"/>
        <w:keepNext w:val="0"/>
        <w:spacing w:before="0" w:after="0" w:line="276" w:lineRule="auto"/>
        <w:ind w:left="0" w:firstLine="0"/>
        <w:jc w:val="both"/>
        <w:rPr>
          <w:rFonts w:ascii="Sylfaen" w:hAnsi="Sylfaen"/>
          <w:b/>
          <w:color w:val="000000"/>
          <w:sz w:val="22"/>
          <w:szCs w:val="22"/>
        </w:rPr>
      </w:pPr>
      <w:bookmarkStart w:id="29" w:name="_8yblpx48w1op" w:colFirst="0" w:colLast="0"/>
      <w:bookmarkEnd w:id="29"/>
      <w:r w:rsidRPr="007D5FE6">
        <w:rPr>
          <w:rFonts w:ascii="Sylfaen" w:hAnsi="Sylfaen"/>
          <w:b/>
          <w:color w:val="000000"/>
          <w:sz w:val="22"/>
          <w:szCs w:val="22"/>
        </w:rPr>
        <w:t>8.2 Tailored Frameworks for SMEs vs. Large Institutions</w:t>
      </w:r>
    </w:p>
    <w:p w14:paraId="13535804" w14:textId="77777777" w:rsidR="008839CB" w:rsidRPr="007D5FE6" w:rsidRDefault="008839CB" w:rsidP="007D5FE6">
      <w:pPr>
        <w:spacing w:line="276" w:lineRule="auto"/>
        <w:jc w:val="both"/>
        <w:rPr>
          <w:rFonts w:ascii="Sylfaen" w:hAnsi="Sylfaen"/>
          <w:sz w:val="22"/>
          <w:szCs w:val="22"/>
        </w:rPr>
      </w:pPr>
      <w:r w:rsidRPr="007D5FE6">
        <w:rPr>
          <w:rFonts w:ascii="Sylfaen" w:hAnsi="Sylfaen"/>
          <w:sz w:val="22"/>
          <w:szCs w:val="22"/>
        </w:rPr>
        <w:t>A one-size-fits-all security architecture often fails to address the unique operational dynamics of organizations of varying sizes. Large financial institutions typically have extensive IT departments, dedicated security teams, and sufficient budgets to implement comprehensive enterprise-grade security solutions. These organizations can adopt layered defense strategies such as micro-segmentation, Zero Trust Architecture (ZTA), and dedicated security operation centers (SOCs). However, SMEs face constraints in terms of manpower, budget, and technology maturity, making the direct adoption of enterprise solutions impractical or unsustainable.</w:t>
      </w:r>
    </w:p>
    <w:p w14:paraId="7F644D3E" w14:textId="77777777" w:rsidR="008839CB" w:rsidRPr="007D5FE6" w:rsidRDefault="008839CB" w:rsidP="007D5FE6">
      <w:pPr>
        <w:spacing w:line="276" w:lineRule="auto"/>
        <w:jc w:val="both"/>
        <w:rPr>
          <w:rFonts w:ascii="Sylfaen" w:hAnsi="Sylfaen"/>
          <w:sz w:val="22"/>
          <w:szCs w:val="22"/>
        </w:rPr>
      </w:pPr>
      <w:r w:rsidRPr="007D5FE6">
        <w:rPr>
          <w:rFonts w:ascii="Sylfaen" w:hAnsi="Sylfaen"/>
          <w:sz w:val="22"/>
          <w:szCs w:val="22"/>
        </w:rPr>
        <w:t xml:space="preserve">To address these disparities, tailored frameworks must be designed that prioritize modularity and flexibility. For SMEs, lightweight security stacks that rely on open-source tools, API-level security, tokenization, and managed services can provide adequate protection without overwhelming their resources. Regulatory compliance can be supported through plug-and-play software solutions or third-party compliance-as-a-service platforms. In contrast, larger organizations should be encouraged to implement deeper integration with identity governance tools, DevSecOps workflows, and advanced threat </w:t>
      </w:r>
      <w:r w:rsidRPr="007D5FE6">
        <w:rPr>
          <w:rFonts w:ascii="Sylfaen" w:hAnsi="Sylfaen"/>
          <w:sz w:val="22"/>
          <w:szCs w:val="22"/>
        </w:rPr>
        <w:lastRenderedPageBreak/>
        <w:t>intelligence platforms. Customization and scalability should be embedded into every security blueprint to ensure alignment with an organization's operational scale and regulatory exposure.</w:t>
      </w:r>
    </w:p>
    <w:p w14:paraId="45F441C7" w14:textId="77777777" w:rsidR="008839CB" w:rsidRPr="007D5FE6" w:rsidRDefault="008839CB" w:rsidP="007D5FE6">
      <w:pPr>
        <w:pStyle w:val="Heading4"/>
        <w:keepNext w:val="0"/>
        <w:spacing w:before="0" w:after="0" w:line="276" w:lineRule="auto"/>
        <w:ind w:left="0" w:firstLine="0"/>
        <w:jc w:val="both"/>
        <w:rPr>
          <w:rFonts w:ascii="Sylfaen" w:hAnsi="Sylfaen"/>
          <w:b/>
          <w:color w:val="000000"/>
          <w:sz w:val="22"/>
          <w:szCs w:val="22"/>
        </w:rPr>
      </w:pPr>
      <w:bookmarkStart w:id="30" w:name="_rd0dts1sj55k" w:colFirst="0" w:colLast="0"/>
      <w:bookmarkEnd w:id="30"/>
      <w:r w:rsidRPr="007D5FE6">
        <w:rPr>
          <w:rFonts w:ascii="Sylfaen" w:hAnsi="Sylfaen"/>
          <w:b/>
          <w:color w:val="000000"/>
          <w:sz w:val="22"/>
          <w:szCs w:val="22"/>
        </w:rPr>
        <w:t>8.3 Automation and Cloud-Native Security as Cost-Saving Enablers</w:t>
      </w:r>
    </w:p>
    <w:p w14:paraId="468C4BAE" w14:textId="77777777" w:rsidR="008839CB" w:rsidRPr="007D5FE6" w:rsidRDefault="008839CB" w:rsidP="007D5FE6">
      <w:pPr>
        <w:spacing w:line="276" w:lineRule="auto"/>
        <w:jc w:val="both"/>
        <w:rPr>
          <w:rFonts w:ascii="Sylfaen" w:hAnsi="Sylfaen"/>
          <w:sz w:val="22"/>
          <w:szCs w:val="22"/>
        </w:rPr>
      </w:pPr>
      <w:r w:rsidRPr="007D5FE6">
        <w:rPr>
          <w:rFonts w:ascii="Sylfaen" w:hAnsi="Sylfaen"/>
          <w:sz w:val="22"/>
          <w:szCs w:val="22"/>
        </w:rPr>
        <w:t>Automation and cloud-native technologies present viable solutions for reducing the total cost of ownership (TCO) in secure payment system deployment. Security automation minimizes human error, accelerates threat detection, and streamlines compliance activities. For instance, automated vulnerability scanning, real-time log analysis using SIEM (Security Information and Event Management) systems, and auto-remediation workflows ensure a proactive defense mechanism that operates continuously without requiring constant manual oversight. These tools can also be integrated into CI/CD pipelines, enabling secure code delivery without delaying software releases.</w:t>
      </w:r>
    </w:p>
    <w:p w14:paraId="0F402AA1" w14:textId="77777777" w:rsidR="008839CB" w:rsidRPr="007D5FE6" w:rsidRDefault="008839CB" w:rsidP="007D5FE6">
      <w:pPr>
        <w:spacing w:line="276" w:lineRule="auto"/>
        <w:jc w:val="both"/>
        <w:rPr>
          <w:rFonts w:ascii="Sylfaen" w:hAnsi="Sylfaen"/>
          <w:sz w:val="22"/>
          <w:szCs w:val="22"/>
        </w:rPr>
      </w:pPr>
      <w:r w:rsidRPr="007D5FE6">
        <w:rPr>
          <w:rFonts w:ascii="Sylfaen" w:hAnsi="Sylfaen"/>
          <w:sz w:val="22"/>
          <w:szCs w:val="22"/>
        </w:rPr>
        <w:t>Cloud-native security further enhances cost-efficiency by eliminating the need for expensive on-premise infrastructure. Leading cloud service providers offer integrated security features such as identity access management (IAM), key management systems (KMS), web application firewalls (WAFs), and distributed denial-of-service (DDoS) protection as part of their service bundles. These scalable resources allow both SMEs and enterprises to dynamically allocate resources, scale with demand, and pay only for what they use—ensuring both security and affordability. Moreover, containerization and microservices allow organizations to modularize their security architecture, making updates and compliance easier to manage and automate.</w:t>
      </w:r>
    </w:p>
    <w:p w14:paraId="2BB022DA" w14:textId="77777777" w:rsidR="008839CB" w:rsidRPr="007D5FE6" w:rsidRDefault="008839CB" w:rsidP="007D5FE6">
      <w:pPr>
        <w:pStyle w:val="Heading3"/>
        <w:keepNext w:val="0"/>
        <w:numPr>
          <w:ilvl w:val="0"/>
          <w:numId w:val="0"/>
        </w:numPr>
        <w:tabs>
          <w:tab w:val="clear" w:pos="360"/>
          <w:tab w:val="clear" w:pos="432"/>
        </w:tabs>
        <w:spacing w:before="0" w:after="0" w:line="276" w:lineRule="auto"/>
        <w:jc w:val="both"/>
        <w:rPr>
          <w:rFonts w:ascii="Sylfaen" w:hAnsi="Sylfaen"/>
          <w:b w:val="0"/>
          <w:color w:val="000000"/>
          <w:sz w:val="22"/>
          <w:szCs w:val="22"/>
        </w:rPr>
      </w:pPr>
      <w:bookmarkStart w:id="31" w:name="_yra0dn9y1g2v" w:colFirst="0" w:colLast="0"/>
      <w:bookmarkEnd w:id="31"/>
      <w:r w:rsidRPr="007D5FE6">
        <w:rPr>
          <w:rFonts w:ascii="Sylfaen" w:hAnsi="Sylfaen"/>
          <w:color w:val="000000"/>
          <w:sz w:val="22"/>
          <w:szCs w:val="22"/>
        </w:rPr>
        <w:t>9. Conclusion and Recommendations</w:t>
      </w:r>
    </w:p>
    <w:p w14:paraId="1F35E029" w14:textId="77777777" w:rsidR="008839CB" w:rsidRPr="007D5FE6" w:rsidRDefault="008839CB" w:rsidP="007D5FE6">
      <w:pPr>
        <w:pStyle w:val="Heading4"/>
        <w:keepNext w:val="0"/>
        <w:spacing w:before="0" w:after="0" w:line="276" w:lineRule="auto"/>
        <w:ind w:left="0" w:firstLine="0"/>
        <w:jc w:val="both"/>
        <w:rPr>
          <w:rFonts w:ascii="Sylfaen" w:hAnsi="Sylfaen"/>
          <w:b/>
          <w:color w:val="000000"/>
          <w:sz w:val="22"/>
          <w:szCs w:val="22"/>
        </w:rPr>
      </w:pPr>
      <w:bookmarkStart w:id="32" w:name="_elqwr3yo5g2w" w:colFirst="0" w:colLast="0"/>
      <w:bookmarkEnd w:id="32"/>
      <w:r w:rsidRPr="007D5FE6">
        <w:rPr>
          <w:rFonts w:ascii="Sylfaen" w:hAnsi="Sylfaen"/>
          <w:b/>
          <w:color w:val="000000"/>
          <w:sz w:val="22"/>
          <w:szCs w:val="22"/>
        </w:rPr>
        <w:t>9.1 Summary of Insights and Actionable Framework Enhancements</w:t>
      </w:r>
    </w:p>
    <w:p w14:paraId="70E54C00" w14:textId="77777777" w:rsidR="008839CB" w:rsidRPr="007D5FE6" w:rsidRDefault="008839CB" w:rsidP="007D5FE6">
      <w:pPr>
        <w:spacing w:line="276" w:lineRule="auto"/>
        <w:jc w:val="both"/>
        <w:rPr>
          <w:rFonts w:ascii="Sylfaen" w:hAnsi="Sylfaen"/>
          <w:sz w:val="22"/>
          <w:szCs w:val="22"/>
        </w:rPr>
      </w:pPr>
      <w:r w:rsidRPr="007D5FE6">
        <w:rPr>
          <w:rFonts w:ascii="Sylfaen" w:hAnsi="Sylfaen"/>
          <w:sz w:val="22"/>
          <w:szCs w:val="22"/>
        </w:rPr>
        <w:t xml:space="preserve">This extended study builds upon the foundational principles of smart payment system security by addressing critical gaps often overlooked in </w:t>
      </w:r>
      <w:r w:rsidRPr="007D5FE6">
        <w:rPr>
          <w:rFonts w:ascii="Sylfaen" w:hAnsi="Sylfaen"/>
          <w:sz w:val="22"/>
          <w:szCs w:val="22"/>
        </w:rPr>
        <w:t>conventional frameworks. A key insight emerging from this work is that theoretical robustness alone is insufficient to secure financial platforms in real-world, high-volume environments. There is a distinct disconnect between idealized architectural designs and the operational realities faced by financial institutions, particularly in production-scale deployments where latency, performance, and incident responsiveness are all constrained by infrastructure limitations and user expectations. Actionable enhancements to current frameworks must therefore include empirical validation mechanisms, real-time performance metrics, and security-by-default implementations that can adapt under stress without degrading user experience.</w:t>
      </w:r>
    </w:p>
    <w:p w14:paraId="27A1844D" w14:textId="77777777" w:rsidR="008839CB" w:rsidRPr="007D5FE6" w:rsidRDefault="008839CB" w:rsidP="007D5FE6">
      <w:pPr>
        <w:spacing w:line="276" w:lineRule="auto"/>
        <w:jc w:val="both"/>
        <w:rPr>
          <w:rFonts w:ascii="Sylfaen" w:hAnsi="Sylfaen"/>
          <w:sz w:val="22"/>
          <w:szCs w:val="22"/>
        </w:rPr>
      </w:pPr>
      <w:r w:rsidRPr="007D5FE6">
        <w:rPr>
          <w:rFonts w:ascii="Sylfaen" w:hAnsi="Sylfaen"/>
          <w:sz w:val="22"/>
          <w:szCs w:val="22"/>
        </w:rPr>
        <w:t>Furthermore, the need for inclusive and human-centric security design has emerged as a central theme. Multi-factor authentication, biometric verification, and secure APIs are essential, but their adoption must not alienate vulnerable user populations such as the elderly, disabled, or digitally unskilled. Usability testing, inclusive design principles, and fallback authentication mechanisms must be integrated into security development lifecycles. Additionally, current frameworks must evolve to recognize internal security threats—not just external attacks. Insider risks, often rooted in privilege misuse or weak access control policies, require a rethinking of trust models. Implementing granular, role-based access controls, behavioral analytics, and zero-trust frameworks can significantly enhance internal threat mitigation.</w:t>
      </w:r>
    </w:p>
    <w:p w14:paraId="7A5D51D0" w14:textId="77777777" w:rsidR="008839CB" w:rsidRPr="007D5FE6" w:rsidRDefault="008839CB" w:rsidP="007D5FE6">
      <w:pPr>
        <w:spacing w:line="276" w:lineRule="auto"/>
        <w:jc w:val="both"/>
        <w:rPr>
          <w:rFonts w:ascii="Sylfaen" w:hAnsi="Sylfaen"/>
          <w:sz w:val="22"/>
          <w:szCs w:val="22"/>
        </w:rPr>
      </w:pPr>
      <w:r w:rsidRPr="007D5FE6">
        <w:rPr>
          <w:rFonts w:ascii="Sylfaen" w:hAnsi="Sylfaen"/>
          <w:sz w:val="22"/>
          <w:szCs w:val="22"/>
        </w:rPr>
        <w:t xml:space="preserve">The study also sheds light on the urgent need for quantum-resistant security planning. While mainstream attention to quantum computing is still emerging, payment infrastructures that fail to prepare for quantum vulnerabilities may become obsolete or insecure within the decade. Quantum-safe cryptographic algorithms and migration strategies must be explored now, particularly in high-risk sectors such as banking, remittances, and international settlements. Legacy system </w:t>
      </w:r>
      <w:r w:rsidRPr="007D5FE6">
        <w:rPr>
          <w:rFonts w:ascii="Sylfaen" w:hAnsi="Sylfaen"/>
          <w:sz w:val="22"/>
          <w:szCs w:val="22"/>
        </w:rPr>
        <w:lastRenderedPageBreak/>
        <w:t>modernization is another challenge requiring immediate attention. Many financial institutions operate on outdated architectures, making it difficult to integrate newer technologies such as blockchain, tokenization, and AI-driven threat detection. A layered migration approach that includes secure middleware, microservice refactoring, and gradual API integration is strongly recommended.</w:t>
      </w:r>
    </w:p>
    <w:p w14:paraId="6918A294" w14:textId="77777777" w:rsidR="008839CB" w:rsidRPr="007D5FE6" w:rsidRDefault="008839CB" w:rsidP="007D5FE6">
      <w:pPr>
        <w:pStyle w:val="Heading4"/>
        <w:keepNext w:val="0"/>
        <w:spacing w:before="0" w:after="0" w:line="276" w:lineRule="auto"/>
        <w:ind w:left="0" w:firstLine="0"/>
        <w:jc w:val="both"/>
        <w:rPr>
          <w:rFonts w:ascii="Sylfaen" w:hAnsi="Sylfaen"/>
          <w:b/>
          <w:color w:val="000000"/>
          <w:sz w:val="22"/>
          <w:szCs w:val="22"/>
        </w:rPr>
      </w:pPr>
      <w:bookmarkStart w:id="33" w:name="_pm7zgl9bs69e" w:colFirst="0" w:colLast="0"/>
      <w:bookmarkEnd w:id="33"/>
      <w:r w:rsidRPr="007D5FE6">
        <w:rPr>
          <w:rFonts w:ascii="Sylfaen" w:hAnsi="Sylfaen"/>
          <w:b/>
          <w:color w:val="000000"/>
          <w:sz w:val="22"/>
          <w:szCs w:val="22"/>
        </w:rPr>
        <w:t>9.2 Strategic Research Directions for the Next Decade</w:t>
      </w:r>
    </w:p>
    <w:p w14:paraId="7121F815" w14:textId="77777777" w:rsidR="008839CB" w:rsidRPr="007D5FE6" w:rsidRDefault="008839CB" w:rsidP="007D5FE6">
      <w:pPr>
        <w:spacing w:line="276" w:lineRule="auto"/>
        <w:jc w:val="both"/>
        <w:rPr>
          <w:rFonts w:ascii="Sylfaen" w:hAnsi="Sylfaen"/>
          <w:sz w:val="22"/>
          <w:szCs w:val="22"/>
        </w:rPr>
      </w:pPr>
      <w:r w:rsidRPr="007D5FE6">
        <w:rPr>
          <w:rFonts w:ascii="Sylfaen" w:hAnsi="Sylfaen"/>
          <w:sz w:val="22"/>
          <w:szCs w:val="22"/>
        </w:rPr>
        <w:t>Looking ahead, the future of secure digital transactions will be shaped by a convergence of technologies, policies, and human behavior—each demanding continued research, innovation, and ethical stewardship. One strategic direction involves deepening the integration of Artificial Intelligence (AI) into transaction monitoring, fraud detection, and behavior-based authentication. While AI models are currently employed in risk scoring, the next decade must prioritize explainable AI (XAI) to enhance transparency, regulatory approval, and user trust.</w:t>
      </w:r>
    </w:p>
    <w:p w14:paraId="3F37222F" w14:textId="77777777" w:rsidR="008839CB" w:rsidRPr="007D5FE6" w:rsidRDefault="008839CB" w:rsidP="007D5FE6">
      <w:pPr>
        <w:spacing w:line="276" w:lineRule="auto"/>
        <w:jc w:val="both"/>
        <w:rPr>
          <w:rFonts w:ascii="Sylfaen" w:hAnsi="Sylfaen"/>
          <w:sz w:val="22"/>
          <w:szCs w:val="22"/>
        </w:rPr>
      </w:pPr>
      <w:r w:rsidRPr="007D5FE6">
        <w:rPr>
          <w:rFonts w:ascii="Sylfaen" w:hAnsi="Sylfaen"/>
          <w:sz w:val="22"/>
          <w:szCs w:val="22"/>
        </w:rPr>
        <w:t>Another critical research area is the full development and implementation of post-quantum cryptography within live financial systems. Governments and standards bodies, such as NIST, are already pushing forward quantum-safe protocols, but academic and industry research must explore their optimization, usability, and interoperability with legacy systems. Cross-sector collaboration between cryptographers, software engineers, and policy regulators will be essential to ensure a smooth and secure transition.</w:t>
      </w:r>
    </w:p>
    <w:p w14:paraId="412735EC" w14:textId="77777777" w:rsidR="008839CB" w:rsidRPr="007D5FE6" w:rsidRDefault="008839CB" w:rsidP="007D5FE6">
      <w:pPr>
        <w:spacing w:line="276" w:lineRule="auto"/>
        <w:jc w:val="both"/>
        <w:rPr>
          <w:rFonts w:ascii="Sylfaen" w:hAnsi="Sylfaen"/>
          <w:sz w:val="22"/>
          <w:szCs w:val="22"/>
        </w:rPr>
      </w:pPr>
      <w:r w:rsidRPr="007D5FE6">
        <w:rPr>
          <w:rFonts w:ascii="Sylfaen" w:hAnsi="Sylfaen"/>
          <w:sz w:val="22"/>
          <w:szCs w:val="22"/>
        </w:rPr>
        <w:t>Privacy-enhancing technologies (PETs) such as homomorphic encryption, zero-knowledge proofs (ZKPs), and secure multi-party computation (SMPC) are also expected to play a larger role in enabling secure payments without exposing sensitive data. Research should explore how PETs can be integrated with open banking APIs, decentralized finance (DeFi) platforms, and real-time payment (RTP) networks to ensure both compliance and user privacy.</w:t>
      </w:r>
    </w:p>
    <w:p w14:paraId="184C7834" w14:textId="77777777" w:rsidR="008839CB" w:rsidRPr="007D5FE6" w:rsidRDefault="008839CB" w:rsidP="007D5FE6">
      <w:pPr>
        <w:spacing w:line="276" w:lineRule="auto"/>
        <w:jc w:val="both"/>
        <w:rPr>
          <w:rFonts w:ascii="Sylfaen" w:hAnsi="Sylfaen"/>
          <w:sz w:val="22"/>
          <w:szCs w:val="22"/>
        </w:rPr>
      </w:pPr>
      <w:r w:rsidRPr="007D5FE6">
        <w:rPr>
          <w:rFonts w:ascii="Sylfaen" w:hAnsi="Sylfaen"/>
          <w:sz w:val="22"/>
          <w:szCs w:val="22"/>
        </w:rPr>
        <w:t xml:space="preserve">Additionally, policy-aware systems design must become a research priority. Current frameworks often </w:t>
      </w:r>
      <w:r w:rsidRPr="007D5FE6">
        <w:rPr>
          <w:rFonts w:ascii="Sylfaen" w:hAnsi="Sylfaen"/>
          <w:sz w:val="22"/>
          <w:szCs w:val="22"/>
        </w:rPr>
        <w:t>retrofit legal compliance into development after the fact. Future architectures should be capable of understanding and dynamically adapting to legal requirements across multiple jurisdictions. This will involve intelligent compliance engines that can interpret regulatory changes, assess their impact on system operations, and make automated adjustments or recommendations.</w:t>
      </w:r>
    </w:p>
    <w:p w14:paraId="7A7E2B9E" w14:textId="48AC11B8" w:rsidR="00646B75" w:rsidRDefault="008839CB" w:rsidP="007D5FE6">
      <w:pPr>
        <w:spacing w:line="276" w:lineRule="auto"/>
        <w:jc w:val="both"/>
        <w:rPr>
          <w:rFonts w:ascii="Sylfaen" w:hAnsi="Sylfaen"/>
          <w:sz w:val="22"/>
          <w:szCs w:val="22"/>
        </w:rPr>
      </w:pPr>
      <w:r w:rsidRPr="007D5FE6">
        <w:rPr>
          <w:rFonts w:ascii="Sylfaen" w:hAnsi="Sylfaen"/>
          <w:sz w:val="22"/>
          <w:szCs w:val="22"/>
        </w:rPr>
        <w:t>Finally, user-centric security design should be treated as a formal research discipline. The intersection of cognitive psychology, UX design, and cybersecurity needs further exploration to ensure that payment systems are not only secure but also accessible and intuitive. Future research can explore adaptive interfaces, trust nudges, and behavioral biometrics that adjust security controls based on contextual risk without frustrating users.</w:t>
      </w:r>
    </w:p>
    <w:p w14:paraId="2DFDA649" w14:textId="77777777" w:rsidR="007D5FE6" w:rsidRPr="007D5FE6" w:rsidRDefault="007D5FE6" w:rsidP="007D5FE6">
      <w:pPr>
        <w:spacing w:line="276" w:lineRule="auto"/>
        <w:jc w:val="both"/>
        <w:rPr>
          <w:rFonts w:ascii="Sylfaen" w:hAnsi="Sylfaen"/>
          <w:sz w:val="22"/>
          <w:szCs w:val="22"/>
        </w:rPr>
      </w:pPr>
    </w:p>
    <w:sdt>
      <w:sdtPr>
        <w:rPr>
          <w:rFonts w:ascii="Sylfaen" w:eastAsia="Times New Roman" w:hAnsi="Sylfaen"/>
          <w:sz w:val="22"/>
          <w:szCs w:val="22"/>
          <w:lang w:val="en-US" w:eastAsia="en-US"/>
        </w:rPr>
        <w:id w:val="-701398497"/>
        <w:docPartObj>
          <w:docPartGallery w:val="Bibliographies"/>
          <w:docPartUnique/>
        </w:docPartObj>
      </w:sdtPr>
      <w:sdtEndPr>
        <w:rPr>
          <w:b/>
          <w:bCs/>
        </w:rPr>
      </w:sdtEndPr>
      <w:sdtContent>
        <w:p w14:paraId="520E0C04" w14:textId="17983966" w:rsidR="00633D0E" w:rsidRPr="00026458" w:rsidRDefault="00633D0E" w:rsidP="00646B75">
          <w:pPr>
            <w:tabs>
              <w:tab w:val="left" w:pos="360"/>
            </w:tabs>
            <w:spacing w:line="276" w:lineRule="auto"/>
            <w:rPr>
              <w:rFonts w:ascii="Sylfaen" w:eastAsia="Cambria" w:hAnsi="Sylfaen" w:cs="Cambria"/>
              <w:b/>
              <w:spacing w:val="-1"/>
              <w:sz w:val="22"/>
              <w:szCs w:val="22"/>
              <w:lang w:val="en-US" w:eastAsia="en-US"/>
            </w:rPr>
          </w:pPr>
          <w:r w:rsidRPr="00026458">
            <w:rPr>
              <w:rFonts w:ascii="Sylfaen" w:eastAsia="Cambria" w:hAnsi="Sylfaen" w:cs="Cambria"/>
              <w:b/>
              <w:spacing w:val="-1"/>
              <w:sz w:val="22"/>
              <w:szCs w:val="22"/>
              <w:lang w:val="en-US" w:eastAsia="en-US"/>
            </w:rPr>
            <w:t>REFERENCES</w:t>
          </w:r>
        </w:p>
        <w:p w14:paraId="7FEFE11F" w14:textId="77777777" w:rsidR="00633D0E" w:rsidRPr="00026458" w:rsidRDefault="00633D0E" w:rsidP="00633D0E">
          <w:pPr>
            <w:tabs>
              <w:tab w:val="left" w:pos="360"/>
            </w:tabs>
            <w:spacing w:line="276" w:lineRule="auto"/>
            <w:ind w:left="540" w:hanging="540"/>
            <w:rPr>
              <w:rFonts w:ascii="Sylfaen" w:eastAsia="Cambria" w:hAnsi="Sylfaen" w:cs="Cambria"/>
              <w:b/>
              <w:spacing w:val="-1"/>
              <w:sz w:val="22"/>
              <w:szCs w:val="22"/>
              <w:lang w:val="en-US" w:eastAsia="en-US"/>
            </w:rPr>
          </w:pPr>
        </w:p>
        <w:p w14:paraId="4A170646" w14:textId="230B121E" w:rsidR="00B6376D" w:rsidRPr="00B6376D" w:rsidRDefault="00B6376D" w:rsidP="00B6376D">
          <w:pPr>
            <w:pStyle w:val="Bibliography"/>
            <w:numPr>
              <w:ilvl w:val="0"/>
              <w:numId w:val="10"/>
            </w:numPr>
            <w:overflowPunct w:val="0"/>
            <w:adjustRightInd w:val="0"/>
            <w:spacing w:line="276" w:lineRule="auto"/>
            <w:ind w:left="567" w:hanging="567"/>
            <w:jc w:val="both"/>
            <w:textAlignment w:val="baseline"/>
            <w:rPr>
              <w:rFonts w:ascii="Sylfaen" w:hAnsi="Sylfaen"/>
              <w:noProof/>
              <w:sz w:val="22"/>
              <w:szCs w:val="22"/>
            </w:rPr>
          </w:pPr>
          <w:r w:rsidRPr="00B6376D">
            <w:rPr>
              <w:rFonts w:ascii="Sylfaen" w:hAnsi="Sylfaen"/>
              <w:noProof/>
              <w:sz w:val="22"/>
              <w:szCs w:val="22"/>
            </w:rPr>
            <w:t>Apon, D., Dang, Q., &amp; Perlner, R. (2023). Implementing post-quantum cryptography in payment networks: Challenges and solutions. Journal of Cybersecurity, 9(1).</w:t>
          </w:r>
        </w:p>
        <w:p w14:paraId="7058959A" w14:textId="77777777" w:rsidR="00B6376D" w:rsidRPr="00B6376D" w:rsidRDefault="00B6376D" w:rsidP="00B6376D">
          <w:pPr>
            <w:pStyle w:val="Bibliography"/>
            <w:numPr>
              <w:ilvl w:val="0"/>
              <w:numId w:val="10"/>
            </w:numPr>
            <w:overflowPunct w:val="0"/>
            <w:adjustRightInd w:val="0"/>
            <w:spacing w:line="276" w:lineRule="auto"/>
            <w:ind w:left="567" w:hanging="567"/>
            <w:jc w:val="both"/>
            <w:textAlignment w:val="baseline"/>
            <w:rPr>
              <w:rFonts w:ascii="Sylfaen" w:hAnsi="Sylfaen"/>
              <w:noProof/>
              <w:sz w:val="22"/>
              <w:szCs w:val="22"/>
            </w:rPr>
          </w:pPr>
          <w:r w:rsidRPr="00B6376D">
            <w:rPr>
              <w:rFonts w:ascii="Sylfaen" w:hAnsi="Sylfaen"/>
              <w:noProof/>
              <w:sz w:val="22"/>
              <w:szCs w:val="22"/>
            </w:rPr>
            <w:t>Bailey, K. O., Okolica, J. S., &amp; Peterson, G. L. (2021). User re-authentication via behavioral biometrics in mobile payment applications. Computers &amp; Security.</w:t>
          </w:r>
        </w:p>
        <w:p w14:paraId="11701D8C" w14:textId="77777777" w:rsidR="00B6376D" w:rsidRPr="00B6376D" w:rsidRDefault="00B6376D" w:rsidP="00B6376D">
          <w:pPr>
            <w:pStyle w:val="Bibliography"/>
            <w:numPr>
              <w:ilvl w:val="0"/>
              <w:numId w:val="10"/>
            </w:numPr>
            <w:overflowPunct w:val="0"/>
            <w:adjustRightInd w:val="0"/>
            <w:spacing w:line="276" w:lineRule="auto"/>
            <w:ind w:left="567" w:hanging="567"/>
            <w:jc w:val="both"/>
            <w:textAlignment w:val="baseline"/>
            <w:rPr>
              <w:rFonts w:ascii="Sylfaen" w:hAnsi="Sylfaen"/>
              <w:noProof/>
              <w:sz w:val="22"/>
              <w:szCs w:val="22"/>
            </w:rPr>
          </w:pPr>
          <w:r w:rsidRPr="00B6376D">
            <w:rPr>
              <w:rFonts w:ascii="Sylfaen" w:hAnsi="Sylfaen"/>
              <w:noProof/>
              <w:sz w:val="22"/>
              <w:szCs w:val="22"/>
            </w:rPr>
            <w:t>Saqib, M., Malhotra, S., Mehta, D., Jangid, J., Yashu, F., &amp; Dixit, S. (2025). Optimizing spot instance reliability and security using cloud-native data and tools. Journal of Information Systems Engineering and Management, 10(14s), 720–731. https://doi.org/10.52783/jisem.v10i14s.2387</w:t>
          </w:r>
        </w:p>
        <w:p w14:paraId="152A4D38" w14:textId="77777777" w:rsidR="00B6376D" w:rsidRPr="00B6376D" w:rsidRDefault="00B6376D" w:rsidP="00B6376D">
          <w:pPr>
            <w:pStyle w:val="Bibliography"/>
            <w:numPr>
              <w:ilvl w:val="0"/>
              <w:numId w:val="10"/>
            </w:numPr>
            <w:overflowPunct w:val="0"/>
            <w:adjustRightInd w:val="0"/>
            <w:spacing w:line="276" w:lineRule="auto"/>
            <w:ind w:left="567" w:hanging="567"/>
            <w:jc w:val="both"/>
            <w:textAlignment w:val="baseline"/>
            <w:rPr>
              <w:rFonts w:ascii="Sylfaen" w:hAnsi="Sylfaen"/>
              <w:noProof/>
              <w:sz w:val="22"/>
              <w:szCs w:val="22"/>
            </w:rPr>
          </w:pPr>
          <w:r w:rsidRPr="00B6376D">
            <w:rPr>
              <w:rFonts w:ascii="Sylfaen" w:hAnsi="Sylfaen"/>
              <w:noProof/>
              <w:sz w:val="22"/>
              <w:szCs w:val="22"/>
            </w:rPr>
            <w:t xml:space="preserve">Zhang, Y., Li, X., &amp; Wang, H. (2023). Secure middleware for hybrid banking architectures: A case study of payment system migration. Journal of Systems and Software. </w:t>
          </w:r>
        </w:p>
        <w:p w14:paraId="12E10A27" w14:textId="77777777" w:rsidR="00B6376D" w:rsidRPr="00B6376D" w:rsidRDefault="00B6376D" w:rsidP="00B6376D">
          <w:pPr>
            <w:pStyle w:val="Bibliography"/>
            <w:numPr>
              <w:ilvl w:val="0"/>
              <w:numId w:val="10"/>
            </w:numPr>
            <w:overflowPunct w:val="0"/>
            <w:adjustRightInd w:val="0"/>
            <w:spacing w:line="276" w:lineRule="auto"/>
            <w:ind w:left="567" w:hanging="567"/>
            <w:jc w:val="both"/>
            <w:textAlignment w:val="baseline"/>
            <w:rPr>
              <w:rFonts w:ascii="Sylfaen" w:hAnsi="Sylfaen"/>
              <w:noProof/>
              <w:sz w:val="22"/>
              <w:szCs w:val="22"/>
            </w:rPr>
          </w:pPr>
          <w:r w:rsidRPr="00B6376D">
            <w:rPr>
              <w:rFonts w:ascii="Sylfaen" w:hAnsi="Sylfaen"/>
              <w:noProof/>
              <w:sz w:val="22"/>
              <w:szCs w:val="22"/>
            </w:rPr>
            <w:t xml:space="preserve">Jangid, J. (2020). Efficient training data caching for deep learning in edge computing networks. </w:t>
          </w:r>
          <w:r w:rsidRPr="00B6376D">
            <w:rPr>
              <w:rFonts w:ascii="Sylfaen" w:hAnsi="Sylfaen"/>
              <w:noProof/>
              <w:sz w:val="22"/>
              <w:szCs w:val="22"/>
            </w:rPr>
            <w:lastRenderedPageBreak/>
            <w:t>International Journal of Scientific Research in Computer Science, Engineering and Information Technology, 7(5), 337–362. https://doi.org/10.32628/CSEIT20631113</w:t>
          </w:r>
        </w:p>
        <w:p w14:paraId="5E4F4578" w14:textId="77777777" w:rsidR="00B6376D" w:rsidRPr="00B6376D" w:rsidRDefault="00B6376D" w:rsidP="00B6376D">
          <w:pPr>
            <w:pStyle w:val="Bibliography"/>
            <w:numPr>
              <w:ilvl w:val="0"/>
              <w:numId w:val="10"/>
            </w:numPr>
            <w:overflowPunct w:val="0"/>
            <w:adjustRightInd w:val="0"/>
            <w:spacing w:line="276" w:lineRule="auto"/>
            <w:ind w:left="567" w:hanging="567"/>
            <w:jc w:val="both"/>
            <w:textAlignment w:val="baseline"/>
            <w:rPr>
              <w:rFonts w:ascii="Sylfaen" w:hAnsi="Sylfaen"/>
              <w:noProof/>
              <w:sz w:val="22"/>
              <w:szCs w:val="22"/>
            </w:rPr>
          </w:pPr>
          <w:r w:rsidRPr="00B6376D">
            <w:rPr>
              <w:rFonts w:ascii="Sylfaen" w:hAnsi="Sylfaen"/>
              <w:noProof/>
              <w:sz w:val="22"/>
              <w:szCs w:val="22"/>
            </w:rPr>
            <w:t xml:space="preserve">Ngai, E. W. T., &amp; Hu, Y. (2023). Deep learning for real-time payment fraud detection: An empirical comparison of architectures. Decision Support Systems. </w:t>
          </w:r>
        </w:p>
        <w:p w14:paraId="2228FB7D" w14:textId="77777777" w:rsidR="00B6376D" w:rsidRPr="00B6376D" w:rsidRDefault="00B6376D" w:rsidP="00B6376D">
          <w:pPr>
            <w:pStyle w:val="Bibliography"/>
            <w:numPr>
              <w:ilvl w:val="0"/>
              <w:numId w:val="10"/>
            </w:numPr>
            <w:overflowPunct w:val="0"/>
            <w:adjustRightInd w:val="0"/>
            <w:spacing w:line="276" w:lineRule="auto"/>
            <w:ind w:left="567" w:hanging="567"/>
            <w:jc w:val="both"/>
            <w:textAlignment w:val="baseline"/>
            <w:rPr>
              <w:rFonts w:ascii="Sylfaen" w:hAnsi="Sylfaen"/>
              <w:noProof/>
              <w:sz w:val="22"/>
              <w:szCs w:val="22"/>
            </w:rPr>
          </w:pPr>
          <w:r w:rsidRPr="00B6376D">
            <w:rPr>
              <w:rFonts w:ascii="Sylfaen" w:hAnsi="Sylfaen"/>
              <w:noProof/>
              <w:sz w:val="22"/>
              <w:szCs w:val="22"/>
            </w:rPr>
            <w:t xml:space="preserve">Venkata, B. (2020). SMART PAYMENT SECURITY: A SOFTWARE DEVELOPER’S ROLE IN PREVENTING FRAUD AND DATA BREACHES. </w:t>
          </w:r>
        </w:p>
        <w:p w14:paraId="1944BDA8" w14:textId="77777777" w:rsidR="00B6376D" w:rsidRPr="00B6376D" w:rsidRDefault="00B6376D" w:rsidP="00B6376D">
          <w:pPr>
            <w:pStyle w:val="Bibliography"/>
            <w:numPr>
              <w:ilvl w:val="0"/>
              <w:numId w:val="10"/>
            </w:numPr>
            <w:overflowPunct w:val="0"/>
            <w:adjustRightInd w:val="0"/>
            <w:spacing w:line="276" w:lineRule="auto"/>
            <w:ind w:left="567" w:hanging="567"/>
            <w:jc w:val="both"/>
            <w:textAlignment w:val="baseline"/>
            <w:rPr>
              <w:rFonts w:ascii="Sylfaen" w:hAnsi="Sylfaen"/>
              <w:noProof/>
              <w:sz w:val="22"/>
              <w:szCs w:val="22"/>
            </w:rPr>
          </w:pPr>
          <w:r w:rsidRPr="00B6376D">
            <w:rPr>
              <w:rFonts w:ascii="Sylfaen" w:hAnsi="Sylfaen"/>
              <w:noProof/>
              <w:sz w:val="22"/>
              <w:szCs w:val="22"/>
            </w:rPr>
            <w:t>Dixit, S., &amp; Jangid, J. (2024). Asynchronous SCIM profile for security event tokens. Journal of Computational Analysis and Applications, 33(6), 1357–1371. https://eudoxuspress.com/index.php/pub/article/view/1935</w:t>
          </w:r>
        </w:p>
        <w:p w14:paraId="7D2CA84D" w14:textId="77777777" w:rsidR="00B6376D" w:rsidRPr="00B6376D" w:rsidRDefault="00B6376D" w:rsidP="00B6376D">
          <w:pPr>
            <w:pStyle w:val="Bibliography"/>
            <w:numPr>
              <w:ilvl w:val="0"/>
              <w:numId w:val="10"/>
            </w:numPr>
            <w:overflowPunct w:val="0"/>
            <w:adjustRightInd w:val="0"/>
            <w:spacing w:line="276" w:lineRule="auto"/>
            <w:ind w:left="567" w:hanging="567"/>
            <w:jc w:val="both"/>
            <w:textAlignment w:val="baseline"/>
            <w:rPr>
              <w:rFonts w:ascii="Sylfaen" w:hAnsi="Sylfaen"/>
              <w:noProof/>
              <w:sz w:val="22"/>
              <w:szCs w:val="22"/>
            </w:rPr>
          </w:pPr>
          <w:r w:rsidRPr="00B6376D">
            <w:rPr>
              <w:rFonts w:ascii="Sylfaen" w:hAnsi="Sylfaen"/>
              <w:noProof/>
              <w:sz w:val="22"/>
              <w:szCs w:val="22"/>
            </w:rPr>
            <w:t xml:space="preserve">Malik, S., &amp; Rao, A. (2023). Adaptive security models for mobile money in low-connectivity regions. Information Systems Frontiers, 25(2), 743-760. </w:t>
          </w:r>
        </w:p>
        <w:p w14:paraId="35417CBF" w14:textId="77777777" w:rsidR="00B6376D" w:rsidRPr="00B6376D" w:rsidRDefault="00B6376D" w:rsidP="00B6376D">
          <w:pPr>
            <w:pStyle w:val="Bibliography"/>
            <w:numPr>
              <w:ilvl w:val="0"/>
              <w:numId w:val="10"/>
            </w:numPr>
            <w:overflowPunct w:val="0"/>
            <w:adjustRightInd w:val="0"/>
            <w:spacing w:line="276" w:lineRule="auto"/>
            <w:ind w:left="567" w:hanging="567"/>
            <w:jc w:val="both"/>
            <w:textAlignment w:val="baseline"/>
            <w:rPr>
              <w:rFonts w:ascii="Sylfaen" w:hAnsi="Sylfaen"/>
              <w:noProof/>
              <w:sz w:val="22"/>
              <w:szCs w:val="22"/>
            </w:rPr>
          </w:pPr>
          <w:r w:rsidRPr="00B6376D">
            <w:rPr>
              <w:rFonts w:ascii="Sylfaen" w:hAnsi="Sylfaen"/>
              <w:noProof/>
              <w:sz w:val="22"/>
              <w:szCs w:val="22"/>
            </w:rPr>
            <w:t>Golla, M., &amp; Dürmuth, M. (2022). Biometric multi-factor authentication: On the usability of the FingerPIN scheme. Security and Privacy.</w:t>
          </w:r>
        </w:p>
        <w:p w14:paraId="7565A961" w14:textId="2C5B7F15" w:rsidR="00E63DD0" w:rsidRDefault="00B6376D" w:rsidP="00B6376D">
          <w:pPr>
            <w:pStyle w:val="Bibliography"/>
            <w:numPr>
              <w:ilvl w:val="0"/>
              <w:numId w:val="10"/>
            </w:numPr>
            <w:overflowPunct w:val="0"/>
            <w:adjustRightInd w:val="0"/>
            <w:spacing w:line="276" w:lineRule="auto"/>
            <w:ind w:left="567" w:hanging="567"/>
            <w:jc w:val="both"/>
            <w:textAlignment w:val="baseline"/>
          </w:pPr>
          <w:r w:rsidRPr="00B6376D">
            <w:rPr>
              <w:rFonts w:ascii="Sylfaen" w:hAnsi="Sylfaen"/>
              <w:noProof/>
              <w:sz w:val="22"/>
              <w:szCs w:val="22"/>
            </w:rPr>
            <w:t xml:space="preserve">Mohurle, S., &amp; Patil, D. (2023). Self-healing payment systems: Automated vulnerability patching in production environments. Automated Software Engineering, 30(1), 1-30. </w:t>
          </w:r>
          <w:r w:rsidR="00E63DD0">
            <w:t xml:space="preserve"> </w:t>
          </w:r>
        </w:p>
        <w:p w14:paraId="3F359B65" w14:textId="54DFF1D8" w:rsidR="002A1B36" w:rsidRPr="00F46136" w:rsidRDefault="00000000" w:rsidP="00B6376D">
          <w:pPr>
            <w:pStyle w:val="Bibliography"/>
            <w:overflowPunct w:val="0"/>
            <w:adjustRightInd w:val="0"/>
            <w:spacing w:line="276" w:lineRule="auto"/>
            <w:jc w:val="both"/>
            <w:textAlignment w:val="baseline"/>
            <w:rPr>
              <w:rFonts w:ascii="Sylfaen" w:hAnsi="Sylfaen"/>
              <w:noProof/>
              <w:sz w:val="22"/>
              <w:szCs w:val="22"/>
            </w:rPr>
          </w:pPr>
        </w:p>
      </w:sdtContent>
    </w:sdt>
    <w:sectPr w:rsidR="002A1B36" w:rsidRPr="00F46136" w:rsidSect="00C2047A">
      <w:type w:val="continuous"/>
      <w:pgSz w:w="11906" w:h="16838"/>
      <w:pgMar w:top="964" w:right="836" w:bottom="1170" w:left="810" w:header="709" w:footer="757" w:gutter="0"/>
      <w:pgNumType w:start="294"/>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4217B5" w14:textId="77777777" w:rsidR="005F4A09" w:rsidRDefault="005F4A09">
      <w:r>
        <w:separator/>
      </w:r>
    </w:p>
  </w:endnote>
  <w:endnote w:type="continuationSeparator" w:id="0">
    <w:p w14:paraId="4A196CE9" w14:textId="77777777" w:rsidR="005F4A09" w:rsidRDefault="005F4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Nimbus Mono L">
    <w:altName w:val="Courier New"/>
    <w:charset w:val="00"/>
    <w:family w:val="modern"/>
    <w:pitch w:val="default"/>
  </w:font>
  <w:font w:name="Shruti">
    <w:panose1 w:val="02000500000000000000"/>
    <w:charset w:val="00"/>
    <w:family w:val="swiss"/>
    <w:pitch w:val="variable"/>
    <w:sig w:usb0="0004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Sylfaen">
    <w:panose1 w:val="010A0502050306030303"/>
    <w:charset w:val="00"/>
    <w:family w:val="roman"/>
    <w:pitch w:val="variable"/>
    <w:sig w:usb0="04000687" w:usb1="00000000" w:usb2="00000000" w:usb3="00000000" w:csb0="0000009F" w:csb1="00000000"/>
  </w:font>
  <w:font w:name="Latha">
    <w:panose1 w:val="02000400000000000000"/>
    <w:charset w:val="00"/>
    <w:family w:val="swiss"/>
    <w:pitch w:val="variable"/>
    <w:sig w:usb0="00100003" w:usb1="00000000" w:usb2="00000000" w:usb3="00000000" w:csb0="00000001" w:csb1="00000000"/>
  </w:font>
  <w:font w:name="TimesNewRomanPSMT">
    <w:altName w:val="Times New Roman"/>
    <w:panose1 w:val="00000000000000000000"/>
    <w:charset w:val="0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68223" w14:textId="77777777" w:rsidR="00541086" w:rsidRDefault="005410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EDC1D" w14:textId="77777777" w:rsidR="001B7A61" w:rsidRDefault="00131944">
    <w:pPr>
      <w:pStyle w:val="Footer"/>
    </w:pPr>
    <w:r>
      <w:rPr>
        <w:noProof/>
        <w:lang w:val="en-IN" w:eastAsia="en-IN"/>
      </w:rPr>
      <w:drawing>
        <wp:anchor distT="0" distB="0" distL="0" distR="0" simplePos="0" relativeHeight="4" behindDoc="0" locked="0" layoutInCell="1" allowOverlap="1" wp14:anchorId="4C4B935C" wp14:editId="71115E98">
          <wp:simplePos x="0" y="0"/>
          <wp:positionH relativeFrom="column">
            <wp:posOffset>6147461</wp:posOffset>
          </wp:positionH>
          <wp:positionV relativeFrom="paragraph">
            <wp:posOffset>151791</wp:posOffset>
          </wp:positionV>
          <wp:extent cx="409650" cy="425450"/>
          <wp:effectExtent l="0" t="0" r="9525" b="0"/>
          <wp:wrapNone/>
          <wp:docPr id="22203696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 cstate="print"/>
                  <a:srcRect/>
                  <a:stretch/>
                </pic:blipFill>
                <pic:spPr>
                  <a:xfrm flipH="1">
                    <a:off x="0" y="0"/>
                    <a:ext cx="409650" cy="425450"/>
                  </a:xfrm>
                  <a:prstGeom prst="rect">
                    <a:avLst/>
                  </a:prstGeom>
                  <a:ln>
                    <a:noFill/>
                  </a:ln>
                </pic:spPr>
              </pic:pic>
            </a:graphicData>
          </a:graphic>
        </wp:anchor>
      </w:drawing>
    </w:r>
    <w:r w:rsidR="00000000">
      <w:rPr>
        <w:noProof/>
        <w:lang w:val="en-IN" w:eastAsia="en-IN"/>
      </w:rPr>
      <w:pict w14:anchorId="474F43F6">
        <v:line id="Straight Connector 7" o:spid="_x0000_s1026" style="position:absolute;flip:x;z-index:10;visibility:visible;mso-wrap-distance-left:0;mso-wrap-distance-right:0;mso-position-horizontal-relative:text;mso-position-vertical-relative:text;mso-width-relative:margin;mso-height-relative:margin" from="-2.6pt,14.95pt" to="487.1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" strokecolor="#244061">
          <o:lock v:ext="edit" shapetype="f"/>
        </v:line>
      </w:pict>
    </w:r>
  </w:p>
  <w:p w14:paraId="6DCEF3D0" w14:textId="06A6D9D0" w:rsidR="001B7A61" w:rsidRDefault="00000000">
    <w:pPr>
      <w:pStyle w:val="Footer"/>
    </w:pPr>
    <w:r>
      <w:rPr>
        <w:noProof/>
        <w:lang w:val="en-IN" w:eastAsia="en-IN"/>
      </w:rPr>
      <w:pict w14:anchorId="5B995D95">
        <v:rect id="Text Box 3" o:spid="_x0000_s1027" style="position:absolute;margin-left:492.8pt;margin-top:6.15pt;width:28.5pt;height:14.4pt;z-index: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" filled="f" stroked="f">
          <v:textbox inset="0,0,0,0">
            <w:txbxContent>
              <w:p w14:paraId="1FAB4316" w14:textId="77777777" w:rsidR="001B7A61" w:rsidRDefault="00615DC2" w:rsidP="0034569F">
                <w:pPr>
                  <w:rPr>
                    <w:rFonts w:ascii="Sylfaen" w:hAnsi="Sylfaen"/>
                    <w:b/>
                    <w:bCs/>
                    <w:color w:val="000000"/>
                  </w:rPr>
                </w:pPr>
                <w:r>
                  <w:rPr>
                    <w:rFonts w:ascii="Sylfaen" w:hAnsi="Sylfaen"/>
                    <w:b/>
                    <w:bCs/>
                    <w:color w:val="000000"/>
                  </w:rPr>
                  <w:fldChar w:fldCharType="begin"/>
                </w:r>
                <w:r w:rsidR="00131944">
                  <w:rPr>
                    <w:rFonts w:ascii="Sylfaen" w:hAnsi="Sylfaen"/>
                    <w:b/>
                    <w:bCs/>
                    <w:color w:val="000000"/>
                  </w:rPr>
                  <w:instrText xml:space="preserve"> PAGE    \* MERGEFORMAT </w:instrText>
                </w:r>
                <w:r>
                  <w:rPr>
                    <w:rFonts w:ascii="Sylfaen" w:hAnsi="Sylfaen"/>
                    <w:b/>
                    <w:bCs/>
                    <w:color w:val="000000"/>
                  </w:rPr>
                  <w:fldChar w:fldCharType="separate"/>
                </w:r>
                <w:r w:rsidR="007F0680">
                  <w:rPr>
                    <w:rFonts w:ascii="Sylfaen" w:hAnsi="Sylfaen"/>
                    <w:b/>
                    <w:bCs/>
                    <w:noProof/>
                    <w:color w:val="000000"/>
                  </w:rPr>
                  <w:t>291</w:t>
                </w:r>
                <w:r>
                  <w:rPr>
                    <w:rFonts w:ascii="Sylfaen" w:hAnsi="Sylfaen"/>
                    <w:b/>
                    <w:bCs/>
                    <w:noProof/>
                    <w:color w:val="000000"/>
                  </w:rPr>
                  <w:fldChar w:fldCharType="end"/>
                </w:r>
              </w:p>
            </w:txbxContent>
          </v:textbox>
        </v:rect>
      </w:pict>
    </w:r>
    <w:r>
      <w:rPr>
        <w:noProof/>
        <w:lang w:val="en-IN" w:eastAsia="en-IN"/>
      </w:rPr>
      <w:pict w14:anchorId="46EF0B82">
        <v:rect id="Text Box 5" o:spid="_x0000_s1033" style="position:absolute;margin-left:40.25pt;margin-top:783.35pt;width:467.7pt;height:16.05pt;z-index:-503316471;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" filled="f" stroked="f">
          <v:textbox inset="0,0,0,0">
            <w:txbxContent>
              <w:p w14:paraId="6B2A7A7A" w14:textId="7558D5C5" w:rsidR="001B7A61" w:rsidRPr="0010627A" w:rsidRDefault="00131944">
                <w:pPr>
                  <w:spacing w:line="240" w:lineRule="exact"/>
                  <w:ind w:left="20" w:right="-34"/>
                  <w:rPr>
                    <w:rFonts w:ascii="Sylfaen" w:eastAsia="Calibri" w:hAnsi="Sylfaen" w:cs="Arial"/>
                    <w:spacing w:val="2"/>
                    <w:sz w:val="18"/>
                    <w:szCs w:val="18"/>
                  </w:rPr>
                </w:pPr>
                <w:r w:rsidRPr="0010627A">
                  <w:rPr>
                    <w:rFonts w:ascii="Sylfaen" w:eastAsia="Calibri" w:hAnsi="Sylfaen" w:cs="Arial"/>
                    <w:spacing w:val="2"/>
                    <w:sz w:val="18"/>
                    <w:szCs w:val="18"/>
                  </w:rPr>
                  <w:t xml:space="preserve">International Journal of Scientific Research in Science, Engineering and Technology | www.ijsrset.com | Vol </w:t>
                </w:r>
                <w:r w:rsidR="007C44E5">
                  <w:rPr>
                    <w:rFonts w:ascii="Sylfaen" w:eastAsia="Calibri" w:hAnsi="Sylfaen" w:cs="Arial"/>
                    <w:spacing w:val="2"/>
                    <w:sz w:val="18"/>
                    <w:szCs w:val="18"/>
                  </w:rPr>
                  <w:t>1</w:t>
                </w:r>
                <w:r w:rsidR="00A96B82">
                  <w:rPr>
                    <w:rFonts w:ascii="Sylfaen" w:eastAsia="Calibri" w:hAnsi="Sylfaen" w:cs="Arial"/>
                    <w:spacing w:val="2"/>
                    <w:sz w:val="18"/>
                    <w:szCs w:val="18"/>
                  </w:rPr>
                  <w:t>2</w:t>
                </w:r>
                <w:r w:rsidRPr="0010627A">
                  <w:rPr>
                    <w:rFonts w:ascii="Sylfaen" w:eastAsia="Calibri" w:hAnsi="Sylfaen" w:cs="Arial"/>
                    <w:spacing w:val="2"/>
                    <w:sz w:val="18"/>
                    <w:szCs w:val="18"/>
                  </w:rPr>
                  <w:t xml:space="preserve"> | Issue </w:t>
                </w:r>
                <w:r w:rsidR="00A96B82">
                  <w:rPr>
                    <w:rFonts w:ascii="Sylfaen" w:eastAsia="Calibri" w:hAnsi="Sylfaen" w:cs="Arial"/>
                    <w:spacing w:val="2"/>
                    <w:sz w:val="18"/>
                    <w:szCs w:val="18"/>
                  </w:rPr>
                  <w:t>1</w:t>
                </w:r>
              </w:p>
            </w:txbxContent>
          </v:textbox>
          <w10:wrap anchorx="page" anchory="page"/>
        </v:rect>
      </w:pict>
    </w:r>
  </w:p>
  <w:p w14:paraId="376C6401" w14:textId="77777777" w:rsidR="001B7A61" w:rsidRDefault="001B7A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AEBCA" w14:textId="77777777" w:rsidR="004B16CE" w:rsidRDefault="00000000" w:rsidP="004B16CE">
    <w:pPr>
      <w:pStyle w:val="Footer"/>
    </w:pPr>
    <w:r>
      <w:rPr>
        <w:noProof/>
        <w:lang w:val="en-IN" w:eastAsia="en-IN"/>
      </w:rPr>
      <w:pict w14:anchorId="235475DD">
        <v:shapetype id="_x0000_t202" coordsize="21600,21600" o:spt="202" path="m,l,21600r21600,l21600,xe">
          <v:stroke joinstyle="miter"/>
          <v:path gradientshapeok="t" o:connecttype="rect"/>
        </v:shapetype>
        <v:shape id="Text Box 4" o:spid="_x0000_s1028" type="#_x0000_t202" style="position:absolute;margin-left:477.7pt;margin-top:-4.4pt;width:28.5pt;height:14.4pt;z-index:25166233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" filled="f" stroked="f">
          <v:textbox inset="0,0,0,0">
            <w:txbxContent>
              <w:p w14:paraId="1FE9EF64" w14:textId="22B076F4" w:rsidR="004B16CE" w:rsidRPr="00371455" w:rsidRDefault="00C2047A" w:rsidP="0034569F">
                <w:pPr>
                  <w:jc w:val="center"/>
                  <w:rPr>
                    <w:rFonts w:ascii="Sylfaen" w:hAnsi="Sylfaen"/>
                    <w:b/>
                    <w:bCs/>
                    <w:color w:val="000000" w:themeColor="text1"/>
                    <w:sz w:val="22"/>
                    <w:szCs w:val="22"/>
                    <w:lang w:val="en-US"/>
                  </w:rPr>
                </w:pPr>
                <w:r w:rsidRPr="00C2047A">
                  <w:rPr>
                    <w:rFonts w:ascii="Sylfaen" w:hAnsi="Sylfaen"/>
                    <w:b/>
                    <w:bCs/>
                    <w:color w:val="000000" w:themeColor="text1"/>
                    <w:sz w:val="22"/>
                    <w:szCs w:val="22"/>
                    <w:lang w:val="en-US"/>
                  </w:rPr>
                  <w:t>294</w:t>
                </w:r>
              </w:p>
            </w:txbxContent>
          </v:textbox>
          <w10:wrap anchorx="margin"/>
        </v:shape>
      </w:pict>
    </w:r>
    <w:r w:rsidR="00584D2B">
      <w:rPr>
        <w:noProof/>
        <w:lang w:val="en-IN" w:eastAsia="en-IN"/>
      </w:rPr>
      <w:drawing>
        <wp:anchor distT="0" distB="0" distL="114300" distR="114300" simplePos="0" relativeHeight="251659264" behindDoc="0" locked="0" layoutInCell="1" allowOverlap="1" wp14:anchorId="7A3A6185" wp14:editId="2CBC1B09">
          <wp:simplePos x="0" y="0"/>
          <wp:positionH relativeFrom="column">
            <wp:posOffset>6029696</wp:posOffset>
          </wp:positionH>
          <wp:positionV relativeFrom="paragraph">
            <wp:posOffset>-159385</wp:posOffset>
          </wp:positionV>
          <wp:extent cx="417195" cy="425450"/>
          <wp:effectExtent l="0" t="0" r="1905" b="0"/>
          <wp:wrapNone/>
          <wp:docPr id="1970857443" name="Picture 1970857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7195" cy="425450"/>
                  </a:xfrm>
                  <a:prstGeom prst="rect">
                    <a:avLst/>
                  </a:prstGeom>
                  <a:noFill/>
                </pic:spPr>
              </pic:pic>
            </a:graphicData>
          </a:graphic>
        </wp:anchor>
      </w:drawing>
    </w:r>
    <w:r>
      <w:rPr>
        <w:noProof/>
        <w:lang w:val="en-IN" w:eastAsia="en-IN"/>
      </w:rPr>
      <w:pict w14:anchorId="4765FB84">
        <v:shape id="Text Box 1" o:spid="_x0000_s1029" type="#_x0000_t202" style="position:absolute;margin-left:0;margin-top:0;width:475.8pt;height:44.45pt;z-index:-251652096;visibility:visible;mso-position-horizontal:left;mso-position-horizontal-relative:margin;mso-position-vertical:top;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" filled="f" stroked="f">
          <v:textbox inset="0,0,0,0">
            <w:txbxContent>
              <w:p w14:paraId="26C6B9D4" w14:textId="77777777" w:rsidR="0093567D" w:rsidRDefault="0093567D" w:rsidP="0093567D">
                <w:pPr>
                  <w:spacing w:after="27"/>
                  <w:ind w:right="134"/>
                  <w:jc w:val="both"/>
                  <w:rPr>
                    <w:rFonts w:ascii="Sylfaen" w:hAnsi="Sylfaen"/>
                    <w:b/>
                    <w:sz w:val="20"/>
                    <w:szCs w:val="20"/>
                  </w:rPr>
                </w:pPr>
              </w:p>
              <w:p w14:paraId="30D3B296" w14:textId="66FD2B98" w:rsidR="0093567D" w:rsidRDefault="0093567D" w:rsidP="0093567D">
                <w:pPr>
                  <w:spacing w:after="27"/>
                  <w:ind w:right="134"/>
                  <w:jc w:val="both"/>
                  <w:rPr>
                    <w:rFonts w:ascii="Sylfaen" w:eastAsia="TimesNewRomanPSMT" w:hAnsi="Sylfaen" w:cs="TimesNewRomanPSMT"/>
                    <w:sz w:val="18"/>
                    <w:szCs w:val="18"/>
                  </w:rPr>
                </w:pPr>
                <w:r w:rsidRPr="00A36E45">
                  <w:rPr>
                    <w:rFonts w:ascii="Sylfaen" w:hAnsi="Sylfaen"/>
                    <w:b/>
                    <w:sz w:val="20"/>
                    <w:szCs w:val="20"/>
                  </w:rPr>
                  <w:t>Copyright © 202</w:t>
                </w:r>
                <w:r w:rsidR="00DE6F87">
                  <w:rPr>
                    <w:rFonts w:ascii="Sylfaen" w:hAnsi="Sylfaen"/>
                    <w:b/>
                    <w:sz w:val="20"/>
                    <w:szCs w:val="20"/>
                  </w:rPr>
                  <w:t>5</w:t>
                </w:r>
                <w:r w:rsidRPr="00A36E45">
                  <w:rPr>
                    <w:rFonts w:ascii="Sylfaen" w:hAnsi="Sylfaen"/>
                    <w:b/>
                    <w:sz w:val="20"/>
                    <w:szCs w:val="20"/>
                  </w:rPr>
                  <w:t xml:space="preserve"> The Author(s): </w:t>
                </w:r>
                <w:r w:rsidRPr="008F0251">
                  <w:rPr>
                    <w:rFonts w:ascii="Sylfaen" w:hAnsi="Sylfaen"/>
                    <w:sz w:val="20"/>
                    <w:szCs w:val="20"/>
                  </w:rPr>
                  <w:t>This is an open access article under the CC BY license (http://creativecommons.org/licenses/by/4.0</w:t>
                </w:r>
                <w:r>
                  <w:rPr>
                    <w:rFonts w:ascii="Sylfaen" w:hAnsi="Sylfaen"/>
                    <w:sz w:val="20"/>
                    <w:szCs w:val="20"/>
                  </w:rPr>
                  <w:t>/</w:t>
                </w:r>
                <w:r w:rsidRPr="008F0251">
                  <w:rPr>
                    <w:rFonts w:ascii="Sylfaen" w:hAnsi="Sylfaen"/>
                    <w:sz w:val="20"/>
                    <w:szCs w:val="20"/>
                  </w:rPr>
                  <w:t>)</w:t>
                </w:r>
              </w:p>
              <w:p w14:paraId="447703A7" w14:textId="77777777" w:rsidR="004B16CE" w:rsidRDefault="004B16CE" w:rsidP="004B16CE">
                <w:pPr>
                  <w:rPr>
                    <w:rFonts w:ascii="Sylfaen" w:eastAsia="TimesNewRomanPSMT" w:hAnsi="Sylfaen" w:cs="TimesNewRomanPSMT"/>
                    <w:sz w:val="18"/>
                    <w:szCs w:val="18"/>
                  </w:rPr>
                </w:pPr>
              </w:p>
            </w:txbxContent>
          </v:textbox>
          <w10:wrap anchorx="margin" anchory="margin"/>
        </v:shape>
      </w:pict>
    </w:r>
    <w:r>
      <w:rPr>
        <w:noProof/>
        <w:lang w:val="en-IN" w:eastAsia="en-IN"/>
      </w:rPr>
      <w:pict w14:anchorId="2E6EC93A">
        <v:line id="Straight Connector 647" o:spid="_x0000_s1030" style="position:absolute;flip:x;z-index:251663360;visibility:visible;mso-position-horizontal-relative:text;mso-position-vertical-relative:text;mso-width-relative:margin;mso-height-relative:margin" from="-2pt,-9.35pt" to="487.7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" strokecolor="#243f60 [1604]">
          <o:lock v:ext="edit" shapetype="f"/>
        </v:line>
      </w:pict>
    </w:r>
  </w:p>
  <w:p w14:paraId="4FA4AFB6" w14:textId="77777777" w:rsidR="004B16CE" w:rsidRDefault="004B16CE" w:rsidP="004B16CE">
    <w:pPr>
      <w:pStyle w:val="Footer"/>
      <w:tabs>
        <w:tab w:val="clear" w:pos="4680"/>
        <w:tab w:val="clear" w:pos="9360"/>
        <w:tab w:val="left" w:pos="6040"/>
      </w:tabs>
    </w:pPr>
    <w:r>
      <w:tab/>
    </w:r>
  </w:p>
  <w:p w14:paraId="7BF5BCFE" w14:textId="77777777" w:rsidR="004B16CE" w:rsidRDefault="004B16CE" w:rsidP="004B16CE">
    <w:pPr>
      <w:pStyle w:val="Footer"/>
    </w:pPr>
  </w:p>
  <w:p w14:paraId="1D606159" w14:textId="77777777" w:rsidR="004B16CE" w:rsidRPr="007A3224" w:rsidRDefault="004B16CE" w:rsidP="004B16CE">
    <w:pPr>
      <w:pStyle w:val="Footer"/>
    </w:pPr>
  </w:p>
  <w:p w14:paraId="15835D97" w14:textId="77777777" w:rsidR="001B7A61" w:rsidRPr="004B16CE" w:rsidRDefault="001B7A61" w:rsidP="004B16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1C27C9" w14:textId="77777777" w:rsidR="005F4A09" w:rsidRDefault="005F4A09">
      <w:r>
        <w:separator/>
      </w:r>
    </w:p>
  </w:footnote>
  <w:footnote w:type="continuationSeparator" w:id="0">
    <w:p w14:paraId="39AB7834" w14:textId="77777777" w:rsidR="005F4A09" w:rsidRDefault="005F4A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33849" w14:textId="77777777" w:rsidR="00541086" w:rsidRDefault="005410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C04D7" w14:textId="25F94D51" w:rsidR="00124F3F" w:rsidRPr="00A96B82" w:rsidRDefault="00541086" w:rsidP="00124F3F">
    <w:pPr>
      <w:autoSpaceDE w:val="0"/>
      <w:autoSpaceDN w:val="0"/>
      <w:adjustRightInd w:val="0"/>
      <w:spacing w:line="276" w:lineRule="auto"/>
      <w:jc w:val="center"/>
      <w:rPr>
        <w:rFonts w:ascii="Sylfaen" w:hAnsi="Sylfaen"/>
        <w:sz w:val="22"/>
        <w:szCs w:val="22"/>
      </w:rPr>
    </w:pPr>
    <w:r w:rsidRPr="00541086">
      <w:rPr>
        <w:rFonts w:ascii="Sylfaen" w:hAnsi="Sylfaen"/>
        <w:sz w:val="22"/>
        <w:szCs w:val="22"/>
      </w:rPr>
      <w:t>Swapnil Baradhwaj Kadiyam</w:t>
    </w:r>
    <w:r>
      <w:rPr>
        <w:rFonts w:ascii="Sylfaen" w:hAnsi="Sylfaen"/>
        <w:sz w:val="22"/>
        <w:szCs w:val="22"/>
      </w:rPr>
      <w:t xml:space="preserve"> </w:t>
    </w:r>
    <w:r w:rsidR="00124F3F" w:rsidRPr="00A96B82">
      <w:rPr>
        <w:rFonts w:ascii="Sylfaen" w:hAnsi="Sylfaen"/>
        <w:sz w:val="22"/>
        <w:szCs w:val="22"/>
      </w:rPr>
      <w:t xml:space="preserve">Int J Sci Res Sci Eng Technol, </w:t>
    </w:r>
    <w:r w:rsidR="00A96B82" w:rsidRPr="00A96B82">
      <w:rPr>
        <w:rFonts w:ascii="Sylfaen" w:eastAsia="Calibri" w:hAnsi="Sylfaen"/>
        <w:sz w:val="22"/>
        <w:szCs w:val="22"/>
        <w:lang w:val="en-US" w:eastAsia="en-US"/>
      </w:rPr>
      <w:t>January-February-2025</w:t>
    </w:r>
    <w:r w:rsidR="00124F3F" w:rsidRPr="00A96B82">
      <w:rPr>
        <w:rFonts w:ascii="Sylfaen" w:hAnsi="Sylfaen"/>
        <w:sz w:val="22"/>
        <w:szCs w:val="22"/>
      </w:rPr>
      <w:t>, 1</w:t>
    </w:r>
    <w:r w:rsidR="00A96B82" w:rsidRPr="00A96B82">
      <w:rPr>
        <w:rFonts w:ascii="Sylfaen" w:hAnsi="Sylfaen"/>
        <w:sz w:val="22"/>
        <w:szCs w:val="22"/>
      </w:rPr>
      <w:t>2</w:t>
    </w:r>
    <w:r w:rsidR="00124F3F" w:rsidRPr="00A96B82">
      <w:rPr>
        <w:rFonts w:ascii="Sylfaen" w:hAnsi="Sylfaen"/>
        <w:sz w:val="22"/>
        <w:szCs w:val="22"/>
      </w:rPr>
      <w:t xml:space="preserve"> (</w:t>
    </w:r>
    <w:r w:rsidR="00A96B82" w:rsidRPr="00A96B82">
      <w:rPr>
        <w:rFonts w:ascii="Sylfaen" w:hAnsi="Sylfaen"/>
        <w:sz w:val="22"/>
        <w:szCs w:val="22"/>
      </w:rPr>
      <w:t>1</w:t>
    </w:r>
    <w:r w:rsidR="00124F3F" w:rsidRPr="00A96B82">
      <w:rPr>
        <w:rFonts w:ascii="Sylfaen" w:hAnsi="Sylfaen"/>
        <w:sz w:val="22"/>
        <w:szCs w:val="22"/>
      </w:rPr>
      <w:t xml:space="preserve">) : </w:t>
    </w:r>
    <w:r w:rsidR="002303DC" w:rsidRPr="002303DC">
      <w:rPr>
        <w:rFonts w:ascii="Sylfaen" w:hAnsi="Sylfaen"/>
        <w:sz w:val="22"/>
        <w:szCs w:val="22"/>
      </w:rPr>
      <w:t>294-307</w:t>
    </w:r>
  </w:p>
  <w:p w14:paraId="5A227815" w14:textId="77777777" w:rsidR="001B7A61" w:rsidRPr="00124F3F" w:rsidRDefault="001B7A61" w:rsidP="00124F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9"/>
      <w:gridCol w:w="7755"/>
      <w:gridCol w:w="1276"/>
    </w:tblGrid>
    <w:tr w:rsidR="0095396F" w14:paraId="5A817E88" w14:textId="77777777" w:rsidTr="004A05B9">
      <w:trPr>
        <w:trHeight w:val="983"/>
      </w:trPr>
      <w:tc>
        <w:tcPr>
          <w:tcW w:w="1459" w:type="dxa"/>
          <w:vAlign w:val="center"/>
        </w:tcPr>
        <w:p w14:paraId="7B9C4009" w14:textId="77777777" w:rsidR="0095396F" w:rsidRDefault="0095396F" w:rsidP="0095396F">
          <w:pPr>
            <w:pStyle w:val="IEEETitle"/>
            <w:jc w:val="left"/>
            <w:rPr>
              <w:rFonts w:ascii="Cambria" w:eastAsia="Cambria" w:hAnsi="Cambria" w:cs="Cambria"/>
              <w:b/>
              <w:spacing w:val="-6"/>
              <w:sz w:val="36"/>
              <w:szCs w:val="36"/>
            </w:rPr>
          </w:pPr>
          <w:r>
            <w:object w:dxaOrig="7981" w:dyaOrig="6869" w14:anchorId="6D6F4C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pt;height:52pt">
                <v:imagedata r:id="rId1" o:title=""/>
              </v:shape>
              <o:OLEObject Type="Embed" ProgID="PBrush" ShapeID="_x0000_i1025" DrawAspect="Content" ObjectID="_1814827292" r:id="rId2"/>
            </w:object>
          </w:r>
        </w:p>
      </w:tc>
      <w:tc>
        <w:tcPr>
          <w:tcW w:w="7755" w:type="dxa"/>
          <w:shd w:val="clear" w:color="auto" w:fill="F2F2F2" w:themeFill="background1" w:themeFillShade="F2"/>
          <w:vAlign w:val="center"/>
        </w:tcPr>
        <w:p w14:paraId="345194C1" w14:textId="77777777" w:rsidR="0095396F" w:rsidRDefault="0095396F" w:rsidP="0095396F">
          <w:pPr>
            <w:pStyle w:val="IEEETitle"/>
            <w:rPr>
              <w:rFonts w:ascii="Cambria" w:eastAsia="Cambria" w:hAnsi="Cambria" w:cs="Cambria"/>
              <w:b/>
              <w:spacing w:val="-6"/>
              <w:sz w:val="21"/>
              <w:szCs w:val="21"/>
            </w:rPr>
          </w:pPr>
          <w:r w:rsidRPr="00302F0A">
            <w:rPr>
              <w:rFonts w:ascii="Cambria" w:eastAsia="Cambria" w:hAnsi="Cambria" w:cs="Cambria"/>
              <w:b/>
              <w:spacing w:val="-6"/>
              <w:sz w:val="21"/>
              <w:szCs w:val="21"/>
            </w:rPr>
            <w:t>International Journal of Scientific Research in Science, Engineering and Technology</w:t>
          </w:r>
        </w:p>
        <w:p w14:paraId="38C470C7" w14:textId="77777777" w:rsidR="0095396F" w:rsidRPr="00E92A12" w:rsidRDefault="0095396F" w:rsidP="0095396F">
          <w:pPr>
            <w:pStyle w:val="IEEEAuthorName"/>
            <w:rPr>
              <w:rFonts w:eastAsia="Cambria"/>
              <w:sz w:val="2"/>
              <w:szCs w:val="2"/>
              <w:lang w:val="en-AU" w:eastAsia="zh-CN"/>
            </w:rPr>
          </w:pPr>
        </w:p>
        <w:tbl>
          <w:tblPr>
            <w:tblStyle w:val="TableGrid"/>
            <w:tblW w:w="75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7"/>
            <w:gridCol w:w="4252"/>
          </w:tblGrid>
          <w:tr w:rsidR="0095396F" w:rsidRPr="005D08F3" w14:paraId="723F0B54" w14:textId="77777777" w:rsidTr="004A05B9">
            <w:trPr>
              <w:trHeight w:val="613"/>
            </w:trPr>
            <w:tc>
              <w:tcPr>
                <w:tcW w:w="3257" w:type="dxa"/>
              </w:tcPr>
              <w:p w14:paraId="632752C4" w14:textId="77777777" w:rsidR="0095396F" w:rsidRDefault="0095396F" w:rsidP="0095396F">
                <w:pPr>
                  <w:pStyle w:val="IEEEAuthorName"/>
                  <w:spacing w:before="0" w:after="0"/>
                  <w:jc w:val="left"/>
                  <w:rPr>
                    <w:rFonts w:ascii="Sylfaen" w:hAnsi="Sylfaen" w:cs="Latha"/>
                    <w:sz w:val="18"/>
                    <w:szCs w:val="18"/>
                  </w:rPr>
                </w:pPr>
                <w:r>
                  <w:rPr>
                    <w:noProof/>
                    <w:lang w:val="en-IN" w:eastAsia="en-IN"/>
                  </w:rPr>
                  <w:drawing>
                    <wp:anchor distT="0" distB="0" distL="114300" distR="114300" simplePos="0" relativeHeight="251658240" behindDoc="0" locked="0" layoutInCell="1" allowOverlap="1" wp14:anchorId="148212AF" wp14:editId="5D139266">
                      <wp:simplePos x="0" y="0"/>
                      <wp:positionH relativeFrom="column">
                        <wp:posOffset>1317081</wp:posOffset>
                      </wp:positionH>
                      <wp:positionV relativeFrom="paragraph">
                        <wp:posOffset>-32022</wp:posOffset>
                      </wp:positionV>
                      <wp:extent cx="719455" cy="287655"/>
                      <wp:effectExtent l="0" t="0" r="0" b="0"/>
                      <wp:wrapNone/>
                      <wp:docPr id="1315691260" name="Picture 2" descr="A logo with a lock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691260" name="Picture 2" descr="A logo with a lock and a circle&#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19455" cy="287655"/>
                              </a:xfrm>
                              <a:prstGeom prst="rect">
                                <a:avLst/>
                              </a:prstGeom>
                              <a:noFill/>
                              <a:ln>
                                <a:noFill/>
                              </a:ln>
                            </pic:spPr>
                          </pic:pic>
                        </a:graphicData>
                      </a:graphic>
                    </wp:anchor>
                  </w:drawing>
                </w:r>
                <w:r>
                  <w:rPr>
                    <w:rFonts w:ascii="Sylfaen" w:hAnsi="Sylfaen" w:cs="Latha"/>
                    <w:sz w:val="18"/>
                    <w:szCs w:val="18"/>
                  </w:rPr>
                  <w:t>Print ISSN -</w:t>
                </w:r>
                <w:r w:rsidRPr="005D08F3">
                  <w:rPr>
                    <w:rFonts w:ascii="Sylfaen" w:hAnsi="Sylfaen" w:cs="Latha"/>
                    <w:sz w:val="18"/>
                    <w:szCs w:val="18"/>
                  </w:rPr>
                  <w:t xml:space="preserve"> 2395-1990</w:t>
                </w:r>
              </w:p>
              <w:p w14:paraId="769F0630" w14:textId="77777777" w:rsidR="0095396F" w:rsidRDefault="0095396F" w:rsidP="0095396F">
                <w:pPr>
                  <w:pStyle w:val="IEEEAuthorName"/>
                  <w:spacing w:before="0" w:after="0"/>
                  <w:jc w:val="left"/>
                  <w:rPr>
                    <w:lang w:val="en-AU" w:eastAsia="zh-CN"/>
                  </w:rPr>
                </w:pPr>
                <w:r>
                  <w:rPr>
                    <w:rFonts w:ascii="Sylfaen" w:hAnsi="Sylfaen" w:cs="Latha"/>
                    <w:sz w:val="18"/>
                    <w:szCs w:val="18"/>
                  </w:rPr>
                  <w:t xml:space="preserve">Online </w:t>
                </w:r>
                <w:r w:rsidRPr="005D08F3">
                  <w:rPr>
                    <w:rFonts w:ascii="Sylfaen" w:hAnsi="Sylfaen" w:cs="Latha"/>
                    <w:sz w:val="18"/>
                    <w:szCs w:val="18"/>
                  </w:rPr>
                  <w:t>ISSN : 2394-4099</w:t>
                </w:r>
              </w:p>
            </w:tc>
            <w:tc>
              <w:tcPr>
                <w:tcW w:w="4252" w:type="dxa"/>
              </w:tcPr>
              <w:p w14:paraId="4DBD493C" w14:textId="77777777" w:rsidR="0095396F" w:rsidRPr="00196E3F" w:rsidRDefault="0095396F" w:rsidP="0095396F">
                <w:pPr>
                  <w:pStyle w:val="IEEEAuthorName"/>
                  <w:spacing w:before="0" w:after="0"/>
                  <w:jc w:val="right"/>
                  <w:rPr>
                    <w:rFonts w:ascii="Sylfaen" w:hAnsi="Sylfaen" w:cs="Latha"/>
                    <w:sz w:val="20"/>
                    <w:szCs w:val="20"/>
                  </w:rPr>
                </w:pPr>
                <w:r w:rsidRPr="00196E3F">
                  <w:rPr>
                    <w:rFonts w:ascii="Sylfaen" w:hAnsi="Sylfaen" w:cs="Latha"/>
                    <w:sz w:val="20"/>
                    <w:szCs w:val="20"/>
                  </w:rPr>
                  <w:t xml:space="preserve">Available </w:t>
                </w:r>
                <w:r>
                  <w:rPr>
                    <w:rFonts w:ascii="Sylfaen" w:hAnsi="Sylfaen" w:cs="Latha"/>
                    <w:sz w:val="20"/>
                    <w:szCs w:val="20"/>
                  </w:rPr>
                  <w:t>O</w:t>
                </w:r>
                <w:r w:rsidRPr="00196E3F">
                  <w:rPr>
                    <w:rFonts w:ascii="Sylfaen" w:hAnsi="Sylfaen" w:cs="Latha"/>
                    <w:sz w:val="20"/>
                    <w:szCs w:val="20"/>
                  </w:rPr>
                  <w:t>nline at :</w:t>
                </w:r>
                <w:r w:rsidRPr="005D08F3">
                  <w:rPr>
                    <w:rFonts w:ascii="Sylfaen" w:hAnsi="Sylfaen" w:cs="Latha"/>
                    <w:sz w:val="20"/>
                    <w:szCs w:val="20"/>
                  </w:rPr>
                  <w:t>www.ijsrset.com</w:t>
                </w:r>
              </w:p>
              <w:p w14:paraId="71AF6EEA" w14:textId="42DE4B88" w:rsidR="0095396F" w:rsidRPr="00813DC7" w:rsidRDefault="0095396F" w:rsidP="0095396F">
                <w:pPr>
                  <w:pStyle w:val="IEEEAuthorName"/>
                  <w:spacing w:before="0" w:after="0"/>
                  <w:jc w:val="right"/>
                  <w:rPr>
                    <w:rFonts w:ascii="Sylfaen" w:hAnsi="Sylfaen" w:cs="Latha"/>
                    <w:sz w:val="20"/>
                    <w:szCs w:val="20"/>
                  </w:rPr>
                </w:pPr>
                <w:r w:rsidRPr="00813DC7">
                  <w:rPr>
                    <w:rFonts w:ascii="Sylfaen" w:hAnsi="Sylfaen" w:cs="Latha"/>
                    <w:sz w:val="20"/>
                    <w:szCs w:val="20"/>
                  </w:rPr>
                  <w:t xml:space="preserve">doi : </w:t>
                </w:r>
                <w:r w:rsidRPr="00813DC7">
                  <w:rPr>
                    <w:sz w:val="20"/>
                    <w:szCs w:val="20"/>
                  </w:rPr>
                  <w:t>https://doi.org/10.32628/</w:t>
                </w:r>
                <w:r w:rsidR="002303DC" w:rsidRPr="002303DC">
                  <w:rPr>
                    <w:sz w:val="20"/>
                    <w:szCs w:val="20"/>
                  </w:rPr>
                  <w:t>IJSRSET25121157</w:t>
                </w:r>
              </w:p>
            </w:tc>
          </w:tr>
        </w:tbl>
        <w:p w14:paraId="77A28D53" w14:textId="77777777" w:rsidR="0095396F" w:rsidRPr="005819F4" w:rsidRDefault="0095396F" w:rsidP="0095396F">
          <w:pPr>
            <w:pStyle w:val="IEEETitle"/>
            <w:spacing w:line="276" w:lineRule="auto"/>
            <w:rPr>
              <w:rFonts w:ascii="Sylfaen" w:hAnsi="Sylfaen" w:cs="Latha"/>
              <w:sz w:val="24"/>
            </w:rPr>
          </w:pPr>
        </w:p>
      </w:tc>
      <w:tc>
        <w:tcPr>
          <w:tcW w:w="1276" w:type="dxa"/>
          <w:vAlign w:val="center"/>
        </w:tcPr>
        <w:p w14:paraId="32149414" w14:textId="77777777" w:rsidR="0095396F" w:rsidRDefault="0095396F" w:rsidP="0095396F">
          <w:pPr>
            <w:pStyle w:val="IEEETitle"/>
            <w:rPr>
              <w:rFonts w:ascii="Cambria" w:eastAsia="Cambria" w:hAnsi="Cambria" w:cs="Cambria"/>
              <w:b/>
              <w:spacing w:val="-6"/>
              <w:sz w:val="36"/>
              <w:szCs w:val="36"/>
            </w:rPr>
          </w:pPr>
          <w:r>
            <w:object w:dxaOrig="18747" w:dyaOrig="24687" w14:anchorId="61D320C0">
              <v:shape id="_x0000_i1026" type="#_x0000_t75" style="width:46pt;height:61.5pt">
                <v:imagedata r:id="rId4" o:title=""/>
              </v:shape>
              <o:OLEObject Type="Embed" ProgID="PBrush" ShapeID="_x0000_i1026" DrawAspect="Content" ObjectID="_1814827293" r:id="rId5"/>
            </w:object>
          </w:r>
        </w:p>
      </w:tc>
    </w:tr>
  </w:tbl>
  <w:p w14:paraId="34E01B3F" w14:textId="77777777" w:rsidR="0095396F" w:rsidRPr="00CF6AFF" w:rsidRDefault="0095396F" w:rsidP="0095396F">
    <w:pPr>
      <w:pStyle w:val="Header"/>
    </w:pPr>
  </w:p>
  <w:p w14:paraId="1591BF75" w14:textId="3E9ECEC6" w:rsidR="001B7A61" w:rsidRPr="0095396F" w:rsidRDefault="001B7A61" w:rsidP="009539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4"/>
    <w:name w:val="WW8Num4"/>
    <w:lvl w:ilvl="0">
      <w:start w:val="1"/>
      <w:numFmt w:val="bullet"/>
      <w:lvlText w:val=""/>
      <w:lvlJc w:val="left"/>
      <w:pPr>
        <w:tabs>
          <w:tab w:val="left" w:pos="720"/>
        </w:tabs>
        <w:ind w:left="720" w:hanging="360"/>
      </w:pPr>
      <w:rPr>
        <w:rFonts w:ascii="Symbol" w:hAnsi="Symbol"/>
      </w:rPr>
    </w:lvl>
  </w:abstractNum>
  <w:abstractNum w:abstractNumId="1" w15:restartNumberingAfterBreak="0">
    <w:nsid w:val="00000002"/>
    <w:multiLevelType w:val="singleLevel"/>
    <w:tmpl w:val="00000005"/>
    <w:name w:val="WW8Num5"/>
    <w:lvl w:ilvl="0">
      <w:start w:val="1"/>
      <w:numFmt w:val="decimal"/>
      <w:lvlText w:val="%1."/>
      <w:lvlJc w:val="left"/>
      <w:pPr>
        <w:tabs>
          <w:tab w:val="left" w:pos="720"/>
        </w:tabs>
        <w:ind w:left="720" w:hanging="360"/>
      </w:pPr>
    </w:lvl>
  </w:abstractNum>
  <w:abstractNum w:abstractNumId="2" w15:restartNumberingAfterBreak="0">
    <w:nsid w:val="00000003"/>
    <w:multiLevelType w:val="multilevel"/>
    <w:tmpl w:val="00000006"/>
    <w:name w:val="WW8Num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00000004"/>
    <w:multiLevelType w:val="multilevel"/>
    <w:tmpl w:val="0000000A"/>
    <w:name w:val="WW8Num10"/>
    <w:lvl w:ilvl="0">
      <w:start w:val="1"/>
      <w:numFmt w:val="decimal"/>
      <w:lvlText w:val="%1."/>
      <w:lvlJc w:val="left"/>
      <w:pPr>
        <w:tabs>
          <w:tab w:val="left" w:pos="720"/>
        </w:tabs>
        <w:ind w:left="720" w:hanging="360"/>
      </w:pPr>
      <w:rPr>
        <w:color w:val="auto"/>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00000005"/>
    <w:multiLevelType w:val="multilevel"/>
    <w:tmpl w:val="129C5206"/>
    <w:lvl w:ilvl="0">
      <w:start w:val="1"/>
      <w:numFmt w:val="upperRoman"/>
      <w:pStyle w:val="IEEEHeading1"/>
      <w:lvlText w:val="%1."/>
      <w:lvlJc w:val="left"/>
      <w:pPr>
        <w:tabs>
          <w:tab w:val="left" w:pos="288"/>
        </w:tabs>
        <w:ind w:left="288" w:hanging="288"/>
      </w:pPr>
      <w:rPr>
        <w:rFonts w:ascii="Times New Roman" w:eastAsia="Arial Unicode MS" w:hAnsi="Times New Roman" w:cs="Times New Roman" w:hint="default"/>
        <w:b w:val="0"/>
        <w:bCs w:val="0"/>
        <w:i w:val="0"/>
        <w:iCs w:val="0"/>
        <w:caps/>
        <w:vanish w:val="0"/>
        <w:color w:val="000000"/>
        <w:spacing w:val="0"/>
        <w:kern w:val="0"/>
        <w:position w:val="0"/>
        <w:sz w:val="20"/>
        <w:szCs w:val="20"/>
        <w:u w:val="none"/>
        <w:vertAlign w:val="baseline"/>
        <w:em w:val="none"/>
      </w:rPr>
    </w:lvl>
    <w:lvl w:ilvl="1">
      <w:start w:val="1"/>
      <w:numFmt w:val="upperLetter"/>
      <w:lvlText w:val="%2."/>
      <w:lvlJc w:val="left"/>
      <w:pPr>
        <w:tabs>
          <w:tab w:val="left" w:pos="288"/>
        </w:tabs>
        <w:ind w:left="288" w:hanging="288"/>
      </w:pPr>
      <w:rPr>
        <w:rFonts w:ascii="Times New Roman" w:hAnsi="Times New Roman" w:hint="default"/>
        <w:b w:val="0"/>
        <w:i w:val="0"/>
        <w:sz w:val="2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5" w15:restartNumberingAfterBreak="0">
    <w:nsid w:val="00000009"/>
    <w:multiLevelType w:val="hybridMultilevel"/>
    <w:tmpl w:val="33826962"/>
    <w:lvl w:ilvl="0" w:tplc="A2947960">
      <w:start w:val="1"/>
      <w:numFmt w:val="decimal"/>
      <w:pStyle w:val="footnote"/>
      <w:lvlText w:val="%1 "/>
      <w:lvlJc w:val="left"/>
      <w:pPr>
        <w:tabs>
          <w:tab w:val="left" w:pos="648"/>
        </w:tabs>
        <w:ind w:firstLine="288"/>
      </w:pPr>
      <w:rPr>
        <w:rFonts w:ascii="Times New Roman" w:hAnsi="Times New Roman" w:cs="Times New Roman" w:hint="default"/>
        <w:b w:val="0"/>
        <w:bCs w:val="0"/>
        <w:i w:val="0"/>
        <w:iCs w:val="0"/>
        <w:caps w:val="0"/>
        <w:vanish w:val="0"/>
        <w:color w:val="000000"/>
        <w:sz w:val="16"/>
        <w:szCs w:val="16"/>
        <w:vertAlign w:val="superscript"/>
      </w:rPr>
    </w:lvl>
    <w:lvl w:ilvl="1" w:tplc="04090019">
      <w:start w:val="1"/>
      <w:numFmt w:val="lowerLetter"/>
      <w:lvlText w:val="%2."/>
      <w:lvlJc w:val="left"/>
      <w:pPr>
        <w:tabs>
          <w:tab w:val="left" w:pos="1440"/>
        </w:tabs>
        <w:ind w:left="1440" w:hanging="360"/>
      </w:pPr>
      <w:rPr>
        <w:rFonts w:cs="Times New Roman"/>
      </w:rPr>
    </w:lvl>
    <w:lvl w:ilvl="2" w:tplc="0409001B">
      <w:start w:val="1"/>
      <w:numFmt w:val="lowerRoman"/>
      <w:lvlText w:val="%3."/>
      <w:lvlJc w:val="right"/>
      <w:pPr>
        <w:tabs>
          <w:tab w:val="left" w:pos="2160"/>
        </w:tabs>
        <w:ind w:left="2160" w:hanging="180"/>
      </w:pPr>
      <w:rPr>
        <w:rFonts w:cs="Times New Roman"/>
      </w:rPr>
    </w:lvl>
    <w:lvl w:ilvl="3" w:tplc="0409000F">
      <w:start w:val="1"/>
      <w:numFmt w:val="decimal"/>
      <w:lvlText w:val="%4."/>
      <w:lvlJc w:val="left"/>
      <w:pPr>
        <w:tabs>
          <w:tab w:val="left" w:pos="2880"/>
        </w:tabs>
        <w:ind w:left="2880" w:hanging="360"/>
      </w:pPr>
      <w:rPr>
        <w:rFonts w:cs="Times New Roman"/>
      </w:rPr>
    </w:lvl>
    <w:lvl w:ilvl="4" w:tplc="04090019">
      <w:start w:val="1"/>
      <w:numFmt w:val="lowerLetter"/>
      <w:lvlText w:val="%5."/>
      <w:lvlJc w:val="left"/>
      <w:pPr>
        <w:tabs>
          <w:tab w:val="left" w:pos="3600"/>
        </w:tabs>
        <w:ind w:left="3600" w:hanging="360"/>
      </w:pPr>
      <w:rPr>
        <w:rFonts w:cs="Times New Roman"/>
      </w:rPr>
    </w:lvl>
    <w:lvl w:ilvl="5" w:tplc="0409001B">
      <w:start w:val="1"/>
      <w:numFmt w:val="lowerRoman"/>
      <w:lvlText w:val="%6."/>
      <w:lvlJc w:val="right"/>
      <w:pPr>
        <w:tabs>
          <w:tab w:val="left" w:pos="4320"/>
        </w:tabs>
        <w:ind w:left="4320" w:hanging="180"/>
      </w:pPr>
      <w:rPr>
        <w:rFonts w:cs="Times New Roman"/>
      </w:rPr>
    </w:lvl>
    <w:lvl w:ilvl="6" w:tplc="0409000F">
      <w:start w:val="1"/>
      <w:numFmt w:val="decimal"/>
      <w:lvlText w:val="%7."/>
      <w:lvlJc w:val="left"/>
      <w:pPr>
        <w:tabs>
          <w:tab w:val="left" w:pos="5040"/>
        </w:tabs>
        <w:ind w:left="5040" w:hanging="360"/>
      </w:pPr>
      <w:rPr>
        <w:rFonts w:cs="Times New Roman"/>
      </w:rPr>
    </w:lvl>
    <w:lvl w:ilvl="7" w:tplc="04090019">
      <w:start w:val="1"/>
      <w:numFmt w:val="lowerLetter"/>
      <w:lvlText w:val="%8."/>
      <w:lvlJc w:val="left"/>
      <w:pPr>
        <w:tabs>
          <w:tab w:val="left" w:pos="5760"/>
        </w:tabs>
        <w:ind w:left="5760" w:hanging="360"/>
      </w:pPr>
      <w:rPr>
        <w:rFonts w:cs="Times New Roman"/>
      </w:rPr>
    </w:lvl>
    <w:lvl w:ilvl="8" w:tplc="0409001B">
      <w:start w:val="1"/>
      <w:numFmt w:val="lowerRoman"/>
      <w:lvlText w:val="%9."/>
      <w:lvlJc w:val="right"/>
      <w:pPr>
        <w:tabs>
          <w:tab w:val="left" w:pos="6480"/>
        </w:tabs>
        <w:ind w:left="6480" w:hanging="180"/>
      </w:pPr>
      <w:rPr>
        <w:rFonts w:cs="Times New Roman"/>
      </w:rPr>
    </w:lvl>
  </w:abstractNum>
  <w:abstractNum w:abstractNumId="6" w15:restartNumberingAfterBreak="0">
    <w:nsid w:val="0000000B"/>
    <w:multiLevelType w:val="multilevel"/>
    <w:tmpl w:val="802488F2"/>
    <w:lvl w:ilvl="0">
      <w:start w:val="1"/>
      <w:numFmt w:val="decimal"/>
      <w:pStyle w:val="IEEEReferenceItem"/>
      <w:lvlText w:val="[%1]"/>
      <w:lvlJc w:val="right"/>
      <w:pPr>
        <w:tabs>
          <w:tab w:val="left" w:pos="432"/>
        </w:tabs>
        <w:ind w:left="432" w:hanging="144"/>
      </w:pPr>
      <w:rPr>
        <w:rFonts w:hint="default"/>
      </w:rPr>
    </w:lvl>
    <w:lvl w:ilvl="1">
      <w:start w:val="1"/>
      <w:numFmt w:val="decimal"/>
      <w:lvlText w:val="%1.%2)"/>
      <w:lvlJc w:val="left"/>
      <w:pPr>
        <w:tabs>
          <w:tab w:val="left" w:pos="936"/>
        </w:tabs>
        <w:ind w:left="936" w:hanging="720"/>
      </w:pPr>
      <w:rPr>
        <w:rFonts w:hint="default"/>
      </w:rPr>
    </w:lvl>
    <w:lvl w:ilvl="2">
      <w:start w:val="1"/>
      <w:numFmt w:val="decimal"/>
      <w:pStyle w:val="Heading3"/>
      <w:lvlText w:val="%3)"/>
      <w:lvlJc w:val="left"/>
      <w:pPr>
        <w:tabs>
          <w:tab w:val="left" w:pos="360"/>
        </w:tabs>
        <w:ind w:left="360" w:hanging="360"/>
      </w:pPr>
      <w:rPr>
        <w:rFonts w:hint="default"/>
      </w:rPr>
    </w:lvl>
    <w:lvl w:ilvl="3">
      <w:start w:val="1"/>
      <w:numFmt w:val="decimal"/>
      <w:lvlText w:val="%1.%2)%3.%4."/>
      <w:lvlJc w:val="left"/>
      <w:pPr>
        <w:tabs>
          <w:tab w:val="left" w:pos="1296"/>
        </w:tabs>
        <w:ind w:left="1296" w:hanging="1080"/>
      </w:pPr>
      <w:rPr>
        <w:rFonts w:hint="default"/>
      </w:rPr>
    </w:lvl>
    <w:lvl w:ilvl="4">
      <w:start w:val="1"/>
      <w:numFmt w:val="decimal"/>
      <w:lvlText w:val="%1.%2)%3.%4.%5."/>
      <w:lvlJc w:val="left"/>
      <w:pPr>
        <w:tabs>
          <w:tab w:val="left" w:pos="1296"/>
        </w:tabs>
        <w:ind w:left="1296" w:hanging="1080"/>
      </w:pPr>
      <w:rPr>
        <w:rFonts w:hint="default"/>
      </w:rPr>
    </w:lvl>
    <w:lvl w:ilvl="5">
      <w:start w:val="1"/>
      <w:numFmt w:val="decimal"/>
      <w:lvlText w:val="%1.%2)%3.%4.%5.%6."/>
      <w:lvlJc w:val="left"/>
      <w:pPr>
        <w:tabs>
          <w:tab w:val="left" w:pos="1656"/>
        </w:tabs>
        <w:ind w:left="1656" w:hanging="1440"/>
      </w:pPr>
      <w:rPr>
        <w:rFonts w:hint="default"/>
      </w:rPr>
    </w:lvl>
    <w:lvl w:ilvl="6">
      <w:start w:val="1"/>
      <w:numFmt w:val="decimal"/>
      <w:lvlText w:val="%1.%2)%3.%4.%5.%6.%7."/>
      <w:lvlJc w:val="left"/>
      <w:pPr>
        <w:tabs>
          <w:tab w:val="left" w:pos="1656"/>
        </w:tabs>
        <w:ind w:left="1656" w:hanging="1440"/>
      </w:pPr>
      <w:rPr>
        <w:rFonts w:hint="default"/>
      </w:rPr>
    </w:lvl>
    <w:lvl w:ilvl="7">
      <w:start w:val="1"/>
      <w:numFmt w:val="decimal"/>
      <w:lvlText w:val="%1.%2)%3.%4.%5.%6.%7.%8."/>
      <w:lvlJc w:val="left"/>
      <w:pPr>
        <w:tabs>
          <w:tab w:val="left" w:pos="2016"/>
        </w:tabs>
        <w:ind w:left="2016" w:hanging="1800"/>
      </w:pPr>
      <w:rPr>
        <w:rFonts w:hint="default"/>
      </w:rPr>
    </w:lvl>
    <w:lvl w:ilvl="8">
      <w:start w:val="1"/>
      <w:numFmt w:val="decimal"/>
      <w:lvlText w:val="%1.%2)%3.%4.%5.%6.%7.%8.%9."/>
      <w:lvlJc w:val="left"/>
      <w:pPr>
        <w:tabs>
          <w:tab w:val="left" w:pos="2016"/>
        </w:tabs>
        <w:ind w:left="2016" w:hanging="1800"/>
      </w:pPr>
      <w:rPr>
        <w:rFonts w:hint="default"/>
      </w:rPr>
    </w:lvl>
  </w:abstractNum>
  <w:abstractNum w:abstractNumId="7" w15:restartNumberingAfterBreak="0">
    <w:nsid w:val="0000000C"/>
    <w:multiLevelType w:val="singleLevel"/>
    <w:tmpl w:val="5DA6FC16"/>
    <w:lvl w:ilvl="0">
      <w:start w:val="1"/>
      <w:numFmt w:val="decimal"/>
      <w:pStyle w:val="References"/>
      <w:lvlText w:val="[%1]"/>
      <w:lvlJc w:val="left"/>
      <w:pPr>
        <w:tabs>
          <w:tab w:val="left" w:pos="360"/>
        </w:tabs>
        <w:ind w:left="360" w:hanging="360"/>
      </w:pPr>
    </w:lvl>
  </w:abstractNum>
  <w:abstractNum w:abstractNumId="8" w15:restartNumberingAfterBreak="0">
    <w:nsid w:val="0000000E"/>
    <w:multiLevelType w:val="multilevel"/>
    <w:tmpl w:val="9C8E938C"/>
    <w:styleLink w:val="IEEEBullet1"/>
    <w:lvl w:ilvl="0">
      <w:start w:val="1"/>
      <w:numFmt w:val="bullet"/>
      <w:lvlText w:val=""/>
      <w:lvlJc w:val="left"/>
      <w:pPr>
        <w:tabs>
          <w:tab w:val="left" w:pos="504"/>
        </w:tabs>
        <w:ind w:left="504" w:hanging="216"/>
      </w:pPr>
      <w:rPr>
        <w:rFonts w:ascii="Symbol" w:hAnsi="Symbol" w:cs="Times New Roman" w:hint="default"/>
        <w:sz w:val="16"/>
        <w:szCs w:val="16"/>
      </w:rPr>
    </w:lvl>
    <w:lvl w:ilvl="1">
      <w:start w:val="1"/>
      <w:numFmt w:val="bullet"/>
      <w:lvlText w:val=""/>
      <w:lvlJc w:val="left"/>
      <w:pPr>
        <w:tabs>
          <w:tab w:val="left" w:pos="288"/>
        </w:tabs>
        <w:ind w:left="288" w:hanging="288"/>
      </w:pPr>
      <w:rPr>
        <w:rFonts w:ascii="Symbol" w:eastAsia="SimSun" w:hAnsi="Symbol" w:hint="default"/>
        <w:sz w:val="16"/>
        <w:szCs w:val="24"/>
      </w:rPr>
    </w:lvl>
    <w:lvl w:ilvl="2">
      <w:start w:val="1"/>
      <w:numFmt w:val="lowerRoman"/>
      <w:lvlText w:val="%3."/>
      <w:lvlJc w:val="right"/>
      <w:pPr>
        <w:tabs>
          <w:tab w:val="left" w:pos="2160"/>
        </w:tabs>
        <w:ind w:left="2160" w:hanging="180"/>
      </w:pPr>
      <w:rPr>
        <w:rFonts w:hint="default"/>
      </w:rPr>
    </w:lvl>
    <w:lvl w:ilvl="3">
      <w:start w:val="1"/>
      <w:numFmt w:val="decimal"/>
      <w:lvlText w:val="%4."/>
      <w:lvlJc w:val="left"/>
      <w:pPr>
        <w:tabs>
          <w:tab w:val="left" w:pos="2880"/>
        </w:tabs>
        <w:ind w:left="2880" w:hanging="360"/>
      </w:pPr>
      <w:rPr>
        <w:rFonts w:hint="default"/>
      </w:rPr>
    </w:lvl>
    <w:lvl w:ilvl="4">
      <w:start w:val="1"/>
      <w:numFmt w:val="lowerLetter"/>
      <w:lvlText w:val="%5."/>
      <w:lvlJc w:val="left"/>
      <w:pPr>
        <w:tabs>
          <w:tab w:val="left" w:pos="3600"/>
        </w:tabs>
        <w:ind w:left="3600" w:hanging="360"/>
      </w:pPr>
      <w:rPr>
        <w:rFonts w:hint="default"/>
      </w:rPr>
    </w:lvl>
    <w:lvl w:ilvl="5">
      <w:start w:val="1"/>
      <w:numFmt w:val="lowerRoman"/>
      <w:lvlText w:val="%6."/>
      <w:lvlJc w:val="right"/>
      <w:pPr>
        <w:tabs>
          <w:tab w:val="left" w:pos="4320"/>
        </w:tabs>
        <w:ind w:left="4320" w:hanging="180"/>
      </w:pPr>
      <w:rPr>
        <w:rFonts w:hint="default"/>
      </w:rPr>
    </w:lvl>
    <w:lvl w:ilvl="6">
      <w:start w:val="1"/>
      <w:numFmt w:val="decimal"/>
      <w:lvlText w:val="%7."/>
      <w:lvlJc w:val="left"/>
      <w:pPr>
        <w:tabs>
          <w:tab w:val="left" w:pos="5040"/>
        </w:tabs>
        <w:ind w:left="5040" w:hanging="360"/>
      </w:pPr>
      <w:rPr>
        <w:rFonts w:hint="default"/>
      </w:rPr>
    </w:lvl>
    <w:lvl w:ilvl="7">
      <w:start w:val="1"/>
      <w:numFmt w:val="lowerLetter"/>
      <w:lvlText w:val="%8."/>
      <w:lvlJc w:val="left"/>
      <w:pPr>
        <w:tabs>
          <w:tab w:val="left" w:pos="5760"/>
        </w:tabs>
        <w:ind w:left="5760" w:hanging="360"/>
      </w:pPr>
      <w:rPr>
        <w:rFonts w:hint="default"/>
      </w:rPr>
    </w:lvl>
    <w:lvl w:ilvl="8">
      <w:start w:val="1"/>
      <w:numFmt w:val="lowerRoman"/>
      <w:lvlText w:val="%9."/>
      <w:lvlJc w:val="right"/>
      <w:pPr>
        <w:tabs>
          <w:tab w:val="left" w:pos="6480"/>
        </w:tabs>
        <w:ind w:left="6480" w:hanging="180"/>
      </w:pPr>
      <w:rPr>
        <w:rFonts w:hint="default"/>
      </w:rPr>
    </w:lvl>
  </w:abstractNum>
  <w:abstractNum w:abstractNumId="9" w15:restartNumberingAfterBreak="0">
    <w:nsid w:val="00000010"/>
    <w:multiLevelType w:val="multilevel"/>
    <w:tmpl w:val="E33C1BF0"/>
    <w:lvl w:ilvl="0">
      <w:start w:val="1"/>
      <w:numFmt w:val="upperLetter"/>
      <w:pStyle w:val="IEEEHeading2"/>
      <w:lvlText w:val="%1."/>
      <w:lvlJc w:val="left"/>
      <w:pPr>
        <w:tabs>
          <w:tab w:val="left" w:pos="288"/>
        </w:tabs>
        <w:ind w:left="288" w:hanging="288"/>
      </w:pPr>
      <w:rPr>
        <w:rFonts w:ascii="Times New Roman" w:eastAsia="Arial Unicode MS" w:hAnsi="Times New Roman" w:cs="Times New Roman" w:hint="default"/>
        <w:b/>
        <w:bCs/>
        <w:i w:val="0"/>
        <w:iCs w:val="0"/>
        <w:caps/>
        <w:vanish w:val="0"/>
        <w:color w:val="000000"/>
        <w:spacing w:val="0"/>
        <w:kern w:val="0"/>
        <w:position w:val="0"/>
        <w:sz w:val="20"/>
        <w:szCs w:val="24"/>
        <w:u w:val="none"/>
        <w:vertAlign w:val="baseline"/>
        <w:em w:val="none"/>
      </w:rPr>
    </w:lvl>
    <w:lvl w:ilvl="1">
      <w:start w:val="1"/>
      <w:numFmt w:val="upperLetter"/>
      <w:lvlText w:val="%2."/>
      <w:lvlJc w:val="left"/>
      <w:pPr>
        <w:tabs>
          <w:tab w:val="left" w:pos="288"/>
        </w:tabs>
        <w:ind w:left="288" w:hanging="288"/>
      </w:pPr>
      <w:rPr>
        <w:rFonts w:ascii="Times New Roman" w:hAnsi="Times New Roman" w:hint="default"/>
        <w:b w:val="0"/>
        <w:i w:val="0"/>
        <w:sz w:val="2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0" w15:restartNumberingAfterBreak="0">
    <w:nsid w:val="00000011"/>
    <w:multiLevelType w:val="singleLevel"/>
    <w:tmpl w:val="A7BC57D0"/>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2"/>
        <w:szCs w:val="22"/>
      </w:rPr>
    </w:lvl>
  </w:abstractNum>
  <w:abstractNum w:abstractNumId="11" w15:restartNumberingAfterBreak="0">
    <w:nsid w:val="00000014"/>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left" w:pos="936"/>
        </w:tabs>
        <w:ind w:left="936" w:hanging="720"/>
      </w:pPr>
      <w:rPr>
        <w:rFonts w:hint="default"/>
      </w:rPr>
    </w:lvl>
    <w:lvl w:ilvl="2">
      <w:start w:val="1"/>
      <w:numFmt w:val="decimal"/>
      <w:lvlText w:val="%1.%2)%3."/>
      <w:lvlJc w:val="left"/>
      <w:pPr>
        <w:tabs>
          <w:tab w:val="left" w:pos="936"/>
        </w:tabs>
        <w:ind w:left="936" w:hanging="720"/>
      </w:pPr>
      <w:rPr>
        <w:rFonts w:hint="default"/>
      </w:rPr>
    </w:lvl>
    <w:lvl w:ilvl="3">
      <w:start w:val="1"/>
      <w:numFmt w:val="decimal"/>
      <w:lvlText w:val="%1.%2)%3.%4."/>
      <w:lvlJc w:val="left"/>
      <w:pPr>
        <w:tabs>
          <w:tab w:val="left" w:pos="1296"/>
        </w:tabs>
        <w:ind w:left="1296" w:hanging="1080"/>
      </w:pPr>
      <w:rPr>
        <w:rFonts w:hint="default"/>
      </w:rPr>
    </w:lvl>
    <w:lvl w:ilvl="4">
      <w:start w:val="1"/>
      <w:numFmt w:val="decimal"/>
      <w:lvlText w:val="%1.%2)%3.%4.%5."/>
      <w:lvlJc w:val="left"/>
      <w:pPr>
        <w:tabs>
          <w:tab w:val="left" w:pos="1296"/>
        </w:tabs>
        <w:ind w:left="1296" w:hanging="1080"/>
      </w:pPr>
      <w:rPr>
        <w:rFonts w:hint="default"/>
      </w:rPr>
    </w:lvl>
    <w:lvl w:ilvl="5">
      <w:start w:val="1"/>
      <w:numFmt w:val="decimal"/>
      <w:lvlText w:val="%1.%2)%3.%4.%5.%6."/>
      <w:lvlJc w:val="left"/>
      <w:pPr>
        <w:tabs>
          <w:tab w:val="left" w:pos="1656"/>
        </w:tabs>
        <w:ind w:left="1656" w:hanging="1440"/>
      </w:pPr>
      <w:rPr>
        <w:rFonts w:hint="default"/>
      </w:rPr>
    </w:lvl>
    <w:lvl w:ilvl="6">
      <w:start w:val="1"/>
      <w:numFmt w:val="decimal"/>
      <w:lvlText w:val="%1.%2)%3.%4.%5.%6.%7."/>
      <w:lvlJc w:val="left"/>
      <w:pPr>
        <w:tabs>
          <w:tab w:val="left" w:pos="1656"/>
        </w:tabs>
        <w:ind w:left="1656" w:hanging="1440"/>
      </w:pPr>
      <w:rPr>
        <w:rFonts w:hint="default"/>
      </w:rPr>
    </w:lvl>
    <w:lvl w:ilvl="7">
      <w:start w:val="1"/>
      <w:numFmt w:val="decimal"/>
      <w:lvlText w:val="%1.%2)%3.%4.%5.%6.%7.%8."/>
      <w:lvlJc w:val="left"/>
      <w:pPr>
        <w:tabs>
          <w:tab w:val="left" w:pos="2016"/>
        </w:tabs>
        <w:ind w:left="2016" w:hanging="1800"/>
      </w:pPr>
      <w:rPr>
        <w:rFonts w:hint="default"/>
      </w:rPr>
    </w:lvl>
    <w:lvl w:ilvl="8">
      <w:start w:val="1"/>
      <w:numFmt w:val="decimal"/>
      <w:lvlText w:val="%1.%2)%3.%4.%5.%6.%7.%8.%9."/>
      <w:lvlJc w:val="left"/>
      <w:pPr>
        <w:tabs>
          <w:tab w:val="left" w:pos="2016"/>
        </w:tabs>
        <w:ind w:left="2016" w:hanging="1800"/>
      </w:pPr>
      <w:rPr>
        <w:rFonts w:hint="default"/>
      </w:rPr>
    </w:lvl>
  </w:abstractNum>
  <w:abstractNum w:abstractNumId="12" w15:restartNumberingAfterBreak="0">
    <w:nsid w:val="068F4A89"/>
    <w:multiLevelType w:val="multilevel"/>
    <w:tmpl w:val="67162180"/>
    <w:lvl w:ilvl="0">
      <w:start w:val="1"/>
      <w:numFmt w:val="decimal"/>
      <w:lvlText w:val="%1"/>
      <w:lvlJc w:val="left"/>
      <w:pPr>
        <w:ind w:left="360" w:hanging="360"/>
      </w:pPr>
      <w:rPr>
        <w:rFonts w:hint="default"/>
      </w:rPr>
    </w:lvl>
    <w:lvl w:ilvl="1">
      <w:start w:val="1"/>
      <w:numFmt w:val="decimal"/>
      <w:lvlText w:val="%1.%2"/>
      <w:lvlJc w:val="left"/>
      <w:pPr>
        <w:ind w:left="1152" w:hanging="72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392" w:hanging="180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616" w:hanging="2160"/>
      </w:pPr>
      <w:rPr>
        <w:rFonts w:hint="default"/>
      </w:rPr>
    </w:lvl>
  </w:abstractNum>
  <w:abstractNum w:abstractNumId="13" w15:restartNumberingAfterBreak="0">
    <w:nsid w:val="06A179EE"/>
    <w:multiLevelType w:val="hybridMultilevel"/>
    <w:tmpl w:val="980A2E28"/>
    <w:lvl w:ilvl="0" w:tplc="C60AE24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6AC3561"/>
    <w:multiLevelType w:val="hybridMultilevel"/>
    <w:tmpl w:val="E48EA1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D44CB5"/>
    <w:multiLevelType w:val="hybridMultilevel"/>
    <w:tmpl w:val="8C3C84D0"/>
    <w:lvl w:ilvl="0" w:tplc="766A5A82">
      <w:start w:val="1"/>
      <w:numFmt w:val="upperLetter"/>
      <w:lvlText w:val="%1."/>
      <w:lvlJc w:val="left"/>
      <w:pPr>
        <w:ind w:left="395" w:hanging="289"/>
      </w:pPr>
      <w:rPr>
        <w:rFonts w:ascii="Times New Roman" w:eastAsia="Times New Roman" w:hAnsi="Times New Roman" w:cs="Times New Roman" w:hint="default"/>
        <w:i w:val="0"/>
        <w:iCs w:val="0"/>
        <w:w w:val="99"/>
        <w:sz w:val="20"/>
        <w:szCs w:val="20"/>
        <w:lang w:val="en-US" w:eastAsia="en-US" w:bidi="ar-SA"/>
      </w:rPr>
    </w:lvl>
    <w:lvl w:ilvl="1" w:tplc="B2F4BD04">
      <w:start w:val="1"/>
      <w:numFmt w:val="decimal"/>
      <w:lvlText w:val="%2)"/>
      <w:lvlJc w:val="left"/>
      <w:pPr>
        <w:ind w:left="647" w:hanging="252"/>
      </w:pPr>
      <w:rPr>
        <w:rFonts w:ascii="Times New Roman" w:eastAsia="Times New Roman" w:hAnsi="Times New Roman" w:cs="Times New Roman" w:hint="default"/>
        <w:i w:val="0"/>
        <w:iCs w:val="0"/>
        <w:spacing w:val="0"/>
        <w:w w:val="99"/>
        <w:sz w:val="20"/>
        <w:szCs w:val="20"/>
        <w:lang w:val="en-US" w:eastAsia="en-US" w:bidi="ar-SA"/>
      </w:rPr>
    </w:lvl>
    <w:lvl w:ilvl="2" w:tplc="6BD43AAA">
      <w:numFmt w:val="bullet"/>
      <w:lvlText w:val="•"/>
      <w:lvlJc w:val="left"/>
      <w:pPr>
        <w:ind w:left="545" w:hanging="252"/>
      </w:pPr>
      <w:rPr>
        <w:rFonts w:hint="default"/>
        <w:lang w:val="en-US" w:eastAsia="en-US" w:bidi="ar-SA"/>
      </w:rPr>
    </w:lvl>
    <w:lvl w:ilvl="3" w:tplc="DB700F3A">
      <w:numFmt w:val="bullet"/>
      <w:lvlText w:val="•"/>
      <w:lvlJc w:val="left"/>
      <w:pPr>
        <w:ind w:left="451" w:hanging="252"/>
      </w:pPr>
      <w:rPr>
        <w:rFonts w:hint="default"/>
        <w:lang w:val="en-US" w:eastAsia="en-US" w:bidi="ar-SA"/>
      </w:rPr>
    </w:lvl>
    <w:lvl w:ilvl="4" w:tplc="A08C9CE0">
      <w:numFmt w:val="bullet"/>
      <w:lvlText w:val="•"/>
      <w:lvlJc w:val="left"/>
      <w:pPr>
        <w:ind w:left="356" w:hanging="252"/>
      </w:pPr>
      <w:rPr>
        <w:rFonts w:hint="default"/>
        <w:lang w:val="en-US" w:eastAsia="en-US" w:bidi="ar-SA"/>
      </w:rPr>
    </w:lvl>
    <w:lvl w:ilvl="5" w:tplc="B7B2A728">
      <w:numFmt w:val="bullet"/>
      <w:lvlText w:val="•"/>
      <w:lvlJc w:val="left"/>
      <w:pPr>
        <w:ind w:left="262" w:hanging="252"/>
      </w:pPr>
      <w:rPr>
        <w:rFonts w:hint="default"/>
        <w:lang w:val="en-US" w:eastAsia="en-US" w:bidi="ar-SA"/>
      </w:rPr>
    </w:lvl>
    <w:lvl w:ilvl="6" w:tplc="31C6F34E">
      <w:numFmt w:val="bullet"/>
      <w:lvlText w:val="•"/>
      <w:lvlJc w:val="left"/>
      <w:pPr>
        <w:ind w:left="168" w:hanging="252"/>
      </w:pPr>
      <w:rPr>
        <w:rFonts w:hint="default"/>
        <w:lang w:val="en-US" w:eastAsia="en-US" w:bidi="ar-SA"/>
      </w:rPr>
    </w:lvl>
    <w:lvl w:ilvl="7" w:tplc="8A6E1ADC">
      <w:numFmt w:val="bullet"/>
      <w:lvlText w:val="•"/>
      <w:lvlJc w:val="left"/>
      <w:pPr>
        <w:ind w:left="73" w:hanging="252"/>
      </w:pPr>
      <w:rPr>
        <w:rFonts w:hint="default"/>
        <w:lang w:val="en-US" w:eastAsia="en-US" w:bidi="ar-SA"/>
      </w:rPr>
    </w:lvl>
    <w:lvl w:ilvl="8" w:tplc="C63ED116">
      <w:numFmt w:val="bullet"/>
      <w:lvlText w:val="•"/>
      <w:lvlJc w:val="left"/>
      <w:pPr>
        <w:ind w:left="-21" w:hanging="252"/>
      </w:pPr>
      <w:rPr>
        <w:rFonts w:hint="default"/>
        <w:lang w:val="en-US" w:eastAsia="en-US" w:bidi="ar-SA"/>
      </w:rPr>
    </w:lvl>
  </w:abstractNum>
  <w:abstractNum w:abstractNumId="16" w15:restartNumberingAfterBreak="0">
    <w:nsid w:val="1D5F7ED4"/>
    <w:multiLevelType w:val="hybridMultilevel"/>
    <w:tmpl w:val="E1006F4E"/>
    <w:lvl w:ilvl="0" w:tplc="38B86B3C">
      <w:start w:val="1"/>
      <w:numFmt w:val="upperRoman"/>
      <w:lvlText w:val="%1."/>
      <w:lvlJc w:val="left"/>
      <w:pPr>
        <w:ind w:left="1080" w:hanging="720"/>
      </w:pPr>
      <w:rPr>
        <w:rFonts w:hint="default"/>
        <w:b/>
        <w:sz w:val="22"/>
        <w:szCs w:val="22"/>
      </w:rPr>
    </w:lvl>
    <w:lvl w:ilvl="1" w:tplc="C4AA4DB8">
      <w:start w:val="1"/>
      <w:numFmt w:val="upperLetter"/>
      <w:lvlText w:val="%2."/>
      <w:lvlJc w:val="left"/>
      <w:pPr>
        <w:ind w:left="1440" w:hanging="360"/>
      </w:pPr>
      <w:rPr>
        <w:rFonts w:hint="default"/>
      </w:rPr>
    </w:lvl>
    <w:lvl w:ilvl="2" w:tplc="87CADB0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4833C8"/>
    <w:multiLevelType w:val="hybridMultilevel"/>
    <w:tmpl w:val="CE98504E"/>
    <w:lvl w:ilvl="0" w:tplc="5D20F9E6">
      <w:start w:val="1"/>
      <w:numFmt w:val="upperLetter"/>
      <w:lvlText w:val="%1."/>
      <w:lvlJc w:val="left"/>
      <w:pPr>
        <w:ind w:left="720" w:hanging="360"/>
      </w:pPr>
      <w:rPr>
        <w:rFonts w:hint="default"/>
        <w:b/>
      </w:rPr>
    </w:lvl>
    <w:lvl w:ilvl="1" w:tplc="4E848690">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DD1C98"/>
    <w:multiLevelType w:val="hybridMultilevel"/>
    <w:tmpl w:val="32068844"/>
    <w:lvl w:ilvl="0" w:tplc="2FF4FA08">
      <w:numFmt w:val="bullet"/>
      <w:lvlText w:val=""/>
      <w:lvlJc w:val="left"/>
      <w:pPr>
        <w:ind w:left="827" w:hanging="360"/>
      </w:pPr>
      <w:rPr>
        <w:rFonts w:ascii="Symbol" w:eastAsia="Symbol" w:hAnsi="Symbol" w:cs="Symbol" w:hint="default"/>
        <w:w w:val="99"/>
        <w:sz w:val="20"/>
        <w:szCs w:val="20"/>
        <w:lang w:val="en-US" w:eastAsia="en-US" w:bidi="ar-SA"/>
      </w:rPr>
    </w:lvl>
    <w:lvl w:ilvl="1" w:tplc="AED22EB8">
      <w:numFmt w:val="bullet"/>
      <w:lvlText w:val="•"/>
      <w:lvlJc w:val="left"/>
      <w:pPr>
        <w:ind w:left="1239" w:hanging="360"/>
      </w:pPr>
      <w:rPr>
        <w:rFonts w:hint="default"/>
        <w:lang w:val="en-US" w:eastAsia="en-US" w:bidi="ar-SA"/>
      </w:rPr>
    </w:lvl>
    <w:lvl w:ilvl="2" w:tplc="C4E4DB7E">
      <w:numFmt w:val="bullet"/>
      <w:lvlText w:val="•"/>
      <w:lvlJc w:val="left"/>
      <w:pPr>
        <w:ind w:left="1659" w:hanging="360"/>
      </w:pPr>
      <w:rPr>
        <w:rFonts w:hint="default"/>
        <w:lang w:val="en-US" w:eastAsia="en-US" w:bidi="ar-SA"/>
      </w:rPr>
    </w:lvl>
    <w:lvl w:ilvl="3" w:tplc="321015DA">
      <w:numFmt w:val="bullet"/>
      <w:lvlText w:val="•"/>
      <w:lvlJc w:val="left"/>
      <w:pPr>
        <w:ind w:left="2078" w:hanging="360"/>
      </w:pPr>
      <w:rPr>
        <w:rFonts w:hint="default"/>
        <w:lang w:val="en-US" w:eastAsia="en-US" w:bidi="ar-SA"/>
      </w:rPr>
    </w:lvl>
    <w:lvl w:ilvl="4" w:tplc="C40A499E">
      <w:numFmt w:val="bullet"/>
      <w:lvlText w:val="•"/>
      <w:lvlJc w:val="left"/>
      <w:pPr>
        <w:ind w:left="2498" w:hanging="360"/>
      </w:pPr>
      <w:rPr>
        <w:rFonts w:hint="default"/>
        <w:lang w:val="en-US" w:eastAsia="en-US" w:bidi="ar-SA"/>
      </w:rPr>
    </w:lvl>
    <w:lvl w:ilvl="5" w:tplc="81D67D3E">
      <w:numFmt w:val="bullet"/>
      <w:lvlText w:val="•"/>
      <w:lvlJc w:val="left"/>
      <w:pPr>
        <w:ind w:left="2918" w:hanging="360"/>
      </w:pPr>
      <w:rPr>
        <w:rFonts w:hint="default"/>
        <w:lang w:val="en-US" w:eastAsia="en-US" w:bidi="ar-SA"/>
      </w:rPr>
    </w:lvl>
    <w:lvl w:ilvl="6" w:tplc="3DBCDE88">
      <w:numFmt w:val="bullet"/>
      <w:lvlText w:val="•"/>
      <w:lvlJc w:val="left"/>
      <w:pPr>
        <w:ind w:left="3337" w:hanging="360"/>
      </w:pPr>
      <w:rPr>
        <w:rFonts w:hint="default"/>
        <w:lang w:val="en-US" w:eastAsia="en-US" w:bidi="ar-SA"/>
      </w:rPr>
    </w:lvl>
    <w:lvl w:ilvl="7" w:tplc="A166397E">
      <w:numFmt w:val="bullet"/>
      <w:lvlText w:val="•"/>
      <w:lvlJc w:val="left"/>
      <w:pPr>
        <w:ind w:left="3757" w:hanging="360"/>
      </w:pPr>
      <w:rPr>
        <w:rFonts w:hint="default"/>
        <w:lang w:val="en-US" w:eastAsia="en-US" w:bidi="ar-SA"/>
      </w:rPr>
    </w:lvl>
    <w:lvl w:ilvl="8" w:tplc="1C0A0B60">
      <w:numFmt w:val="bullet"/>
      <w:lvlText w:val="•"/>
      <w:lvlJc w:val="left"/>
      <w:pPr>
        <w:ind w:left="4177" w:hanging="360"/>
      </w:pPr>
      <w:rPr>
        <w:rFonts w:hint="default"/>
        <w:lang w:val="en-US" w:eastAsia="en-US" w:bidi="ar-SA"/>
      </w:rPr>
    </w:lvl>
  </w:abstractNum>
  <w:abstractNum w:abstractNumId="19" w15:restartNumberingAfterBreak="0">
    <w:nsid w:val="20587FF4"/>
    <w:multiLevelType w:val="hybridMultilevel"/>
    <w:tmpl w:val="1B46A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884E24"/>
    <w:multiLevelType w:val="hybridMultilevel"/>
    <w:tmpl w:val="17E03B1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5F3BE2"/>
    <w:multiLevelType w:val="hybridMultilevel"/>
    <w:tmpl w:val="44586F26"/>
    <w:lvl w:ilvl="0" w:tplc="6978BE5C">
      <w:start w:val="2"/>
      <w:numFmt w:val="upperLetter"/>
      <w:lvlText w:val="%1."/>
      <w:lvlJc w:val="left"/>
      <w:pPr>
        <w:ind w:left="395" w:hanging="289"/>
      </w:pPr>
      <w:rPr>
        <w:rFonts w:ascii="Times New Roman" w:eastAsia="Times New Roman" w:hAnsi="Times New Roman" w:cs="Times New Roman" w:hint="default"/>
        <w:i w:val="0"/>
        <w:iCs w:val="0"/>
        <w:w w:val="99"/>
        <w:sz w:val="20"/>
        <w:szCs w:val="20"/>
        <w:lang w:val="en-US" w:eastAsia="en-US" w:bidi="ar-SA"/>
      </w:rPr>
    </w:lvl>
    <w:lvl w:ilvl="1" w:tplc="05CC9C30">
      <w:numFmt w:val="bullet"/>
      <w:lvlText w:val=""/>
      <w:lvlJc w:val="left"/>
      <w:pPr>
        <w:ind w:left="827" w:hanging="360"/>
      </w:pPr>
      <w:rPr>
        <w:rFonts w:ascii="Symbol" w:eastAsia="Symbol" w:hAnsi="Symbol" w:cs="Symbol" w:hint="default"/>
        <w:w w:val="99"/>
        <w:sz w:val="20"/>
        <w:szCs w:val="20"/>
        <w:lang w:val="en-US" w:eastAsia="en-US" w:bidi="ar-SA"/>
      </w:rPr>
    </w:lvl>
    <w:lvl w:ilvl="2" w:tplc="4A36883A">
      <w:numFmt w:val="bullet"/>
      <w:lvlText w:val="•"/>
      <w:lvlJc w:val="left"/>
      <w:pPr>
        <w:ind w:left="705" w:hanging="360"/>
      </w:pPr>
      <w:rPr>
        <w:rFonts w:hint="default"/>
        <w:lang w:val="en-US" w:eastAsia="en-US" w:bidi="ar-SA"/>
      </w:rPr>
    </w:lvl>
    <w:lvl w:ilvl="3" w:tplc="849859A8">
      <w:numFmt w:val="bullet"/>
      <w:lvlText w:val="•"/>
      <w:lvlJc w:val="left"/>
      <w:pPr>
        <w:ind w:left="591" w:hanging="360"/>
      </w:pPr>
      <w:rPr>
        <w:rFonts w:hint="default"/>
        <w:lang w:val="en-US" w:eastAsia="en-US" w:bidi="ar-SA"/>
      </w:rPr>
    </w:lvl>
    <w:lvl w:ilvl="4" w:tplc="1AB26644">
      <w:numFmt w:val="bullet"/>
      <w:lvlText w:val="•"/>
      <w:lvlJc w:val="left"/>
      <w:pPr>
        <w:ind w:left="477" w:hanging="360"/>
      </w:pPr>
      <w:rPr>
        <w:rFonts w:hint="default"/>
        <w:lang w:val="en-US" w:eastAsia="en-US" w:bidi="ar-SA"/>
      </w:rPr>
    </w:lvl>
    <w:lvl w:ilvl="5" w:tplc="CFE0740A">
      <w:numFmt w:val="bullet"/>
      <w:lvlText w:val="•"/>
      <w:lvlJc w:val="left"/>
      <w:pPr>
        <w:ind w:left="362" w:hanging="360"/>
      </w:pPr>
      <w:rPr>
        <w:rFonts w:hint="default"/>
        <w:lang w:val="en-US" w:eastAsia="en-US" w:bidi="ar-SA"/>
      </w:rPr>
    </w:lvl>
    <w:lvl w:ilvl="6" w:tplc="1916CCD6">
      <w:numFmt w:val="bullet"/>
      <w:lvlText w:val="•"/>
      <w:lvlJc w:val="left"/>
      <w:pPr>
        <w:ind w:left="248" w:hanging="360"/>
      </w:pPr>
      <w:rPr>
        <w:rFonts w:hint="default"/>
        <w:lang w:val="en-US" w:eastAsia="en-US" w:bidi="ar-SA"/>
      </w:rPr>
    </w:lvl>
    <w:lvl w:ilvl="7" w:tplc="AB661B4E">
      <w:numFmt w:val="bullet"/>
      <w:lvlText w:val="•"/>
      <w:lvlJc w:val="left"/>
      <w:pPr>
        <w:ind w:left="133" w:hanging="360"/>
      </w:pPr>
      <w:rPr>
        <w:rFonts w:hint="default"/>
        <w:lang w:val="en-US" w:eastAsia="en-US" w:bidi="ar-SA"/>
      </w:rPr>
    </w:lvl>
    <w:lvl w:ilvl="8" w:tplc="F162C2E4">
      <w:numFmt w:val="bullet"/>
      <w:lvlText w:val="•"/>
      <w:lvlJc w:val="left"/>
      <w:pPr>
        <w:ind w:left="19" w:hanging="360"/>
      </w:pPr>
      <w:rPr>
        <w:rFonts w:hint="default"/>
        <w:lang w:val="en-US" w:eastAsia="en-US" w:bidi="ar-SA"/>
      </w:rPr>
    </w:lvl>
  </w:abstractNum>
  <w:abstractNum w:abstractNumId="22" w15:restartNumberingAfterBreak="0">
    <w:nsid w:val="4243340D"/>
    <w:multiLevelType w:val="hybridMultilevel"/>
    <w:tmpl w:val="12D285E2"/>
    <w:lvl w:ilvl="0" w:tplc="9E8024D8">
      <w:numFmt w:val="bullet"/>
      <w:lvlText w:val=""/>
      <w:lvlJc w:val="left"/>
      <w:pPr>
        <w:ind w:left="827" w:hanging="360"/>
      </w:pPr>
      <w:rPr>
        <w:rFonts w:ascii="Symbol" w:eastAsia="Symbol" w:hAnsi="Symbol" w:cs="Symbol" w:hint="default"/>
        <w:w w:val="99"/>
        <w:sz w:val="20"/>
        <w:szCs w:val="20"/>
        <w:lang w:val="en-US" w:eastAsia="en-US" w:bidi="ar-SA"/>
      </w:rPr>
    </w:lvl>
    <w:lvl w:ilvl="1" w:tplc="E2BA82BA">
      <w:numFmt w:val="bullet"/>
      <w:lvlText w:val="•"/>
      <w:lvlJc w:val="left"/>
      <w:pPr>
        <w:ind w:left="1276" w:hanging="360"/>
      </w:pPr>
      <w:rPr>
        <w:rFonts w:hint="default"/>
        <w:lang w:val="en-US" w:eastAsia="en-US" w:bidi="ar-SA"/>
      </w:rPr>
    </w:lvl>
    <w:lvl w:ilvl="2" w:tplc="8DD6B35C">
      <w:numFmt w:val="bullet"/>
      <w:lvlText w:val="•"/>
      <w:lvlJc w:val="left"/>
      <w:pPr>
        <w:ind w:left="1732" w:hanging="360"/>
      </w:pPr>
      <w:rPr>
        <w:rFonts w:hint="default"/>
        <w:lang w:val="en-US" w:eastAsia="en-US" w:bidi="ar-SA"/>
      </w:rPr>
    </w:lvl>
    <w:lvl w:ilvl="3" w:tplc="3EA81E04">
      <w:numFmt w:val="bullet"/>
      <w:lvlText w:val="•"/>
      <w:lvlJc w:val="left"/>
      <w:pPr>
        <w:ind w:left="2188" w:hanging="360"/>
      </w:pPr>
      <w:rPr>
        <w:rFonts w:hint="default"/>
        <w:lang w:val="en-US" w:eastAsia="en-US" w:bidi="ar-SA"/>
      </w:rPr>
    </w:lvl>
    <w:lvl w:ilvl="4" w:tplc="FA5ADF28">
      <w:numFmt w:val="bullet"/>
      <w:lvlText w:val="•"/>
      <w:lvlJc w:val="left"/>
      <w:pPr>
        <w:ind w:left="2644" w:hanging="360"/>
      </w:pPr>
      <w:rPr>
        <w:rFonts w:hint="default"/>
        <w:lang w:val="en-US" w:eastAsia="en-US" w:bidi="ar-SA"/>
      </w:rPr>
    </w:lvl>
    <w:lvl w:ilvl="5" w:tplc="81B0CFEA">
      <w:numFmt w:val="bullet"/>
      <w:lvlText w:val="•"/>
      <w:lvlJc w:val="left"/>
      <w:pPr>
        <w:ind w:left="3100" w:hanging="360"/>
      </w:pPr>
      <w:rPr>
        <w:rFonts w:hint="default"/>
        <w:lang w:val="en-US" w:eastAsia="en-US" w:bidi="ar-SA"/>
      </w:rPr>
    </w:lvl>
    <w:lvl w:ilvl="6" w:tplc="B89241A4">
      <w:numFmt w:val="bullet"/>
      <w:lvlText w:val="•"/>
      <w:lvlJc w:val="left"/>
      <w:pPr>
        <w:ind w:left="3556" w:hanging="360"/>
      </w:pPr>
      <w:rPr>
        <w:rFonts w:hint="default"/>
        <w:lang w:val="en-US" w:eastAsia="en-US" w:bidi="ar-SA"/>
      </w:rPr>
    </w:lvl>
    <w:lvl w:ilvl="7" w:tplc="90D26A1E">
      <w:numFmt w:val="bullet"/>
      <w:lvlText w:val="•"/>
      <w:lvlJc w:val="left"/>
      <w:pPr>
        <w:ind w:left="4012" w:hanging="360"/>
      </w:pPr>
      <w:rPr>
        <w:rFonts w:hint="default"/>
        <w:lang w:val="en-US" w:eastAsia="en-US" w:bidi="ar-SA"/>
      </w:rPr>
    </w:lvl>
    <w:lvl w:ilvl="8" w:tplc="8738F6AA">
      <w:numFmt w:val="bullet"/>
      <w:lvlText w:val="•"/>
      <w:lvlJc w:val="left"/>
      <w:pPr>
        <w:ind w:left="4468" w:hanging="360"/>
      </w:pPr>
      <w:rPr>
        <w:rFonts w:hint="default"/>
        <w:lang w:val="en-US" w:eastAsia="en-US" w:bidi="ar-SA"/>
      </w:rPr>
    </w:lvl>
  </w:abstractNum>
  <w:abstractNum w:abstractNumId="23" w15:restartNumberingAfterBreak="0">
    <w:nsid w:val="4DF2035E"/>
    <w:multiLevelType w:val="hybridMultilevel"/>
    <w:tmpl w:val="544A2C46"/>
    <w:lvl w:ilvl="0" w:tplc="E682B214">
      <w:start w:val="1"/>
      <w:numFmt w:val="decimal"/>
      <w:lvlText w:val="%1)"/>
      <w:lvlJc w:val="left"/>
      <w:pPr>
        <w:ind w:left="107" w:hanging="252"/>
      </w:pPr>
      <w:rPr>
        <w:rFonts w:ascii="Times New Roman" w:eastAsia="Times New Roman" w:hAnsi="Times New Roman" w:cs="Times New Roman" w:hint="default"/>
        <w:i w:val="0"/>
        <w:iCs w:val="0"/>
        <w:spacing w:val="0"/>
        <w:w w:val="99"/>
        <w:sz w:val="20"/>
        <w:szCs w:val="20"/>
        <w:lang w:val="en-US" w:eastAsia="en-US" w:bidi="ar-SA"/>
      </w:rPr>
    </w:lvl>
    <w:lvl w:ilvl="1" w:tplc="248092A4">
      <w:numFmt w:val="bullet"/>
      <w:lvlText w:val="•"/>
      <w:lvlJc w:val="left"/>
      <w:pPr>
        <w:ind w:left="628" w:hanging="252"/>
      </w:pPr>
      <w:rPr>
        <w:rFonts w:hint="default"/>
        <w:lang w:val="en-US" w:eastAsia="en-US" w:bidi="ar-SA"/>
      </w:rPr>
    </w:lvl>
    <w:lvl w:ilvl="2" w:tplc="4B6E2E8E">
      <w:numFmt w:val="bullet"/>
      <w:lvlText w:val="•"/>
      <w:lvlJc w:val="left"/>
      <w:pPr>
        <w:ind w:left="1156" w:hanging="252"/>
      </w:pPr>
      <w:rPr>
        <w:rFonts w:hint="default"/>
        <w:lang w:val="en-US" w:eastAsia="en-US" w:bidi="ar-SA"/>
      </w:rPr>
    </w:lvl>
    <w:lvl w:ilvl="3" w:tplc="7A84A350">
      <w:numFmt w:val="bullet"/>
      <w:lvlText w:val="•"/>
      <w:lvlJc w:val="left"/>
      <w:pPr>
        <w:ind w:left="1684" w:hanging="252"/>
      </w:pPr>
      <w:rPr>
        <w:rFonts w:hint="default"/>
        <w:lang w:val="en-US" w:eastAsia="en-US" w:bidi="ar-SA"/>
      </w:rPr>
    </w:lvl>
    <w:lvl w:ilvl="4" w:tplc="D2FA6600">
      <w:numFmt w:val="bullet"/>
      <w:lvlText w:val="•"/>
      <w:lvlJc w:val="left"/>
      <w:pPr>
        <w:ind w:left="2212" w:hanging="252"/>
      </w:pPr>
      <w:rPr>
        <w:rFonts w:hint="default"/>
        <w:lang w:val="en-US" w:eastAsia="en-US" w:bidi="ar-SA"/>
      </w:rPr>
    </w:lvl>
    <w:lvl w:ilvl="5" w:tplc="63A05382">
      <w:numFmt w:val="bullet"/>
      <w:lvlText w:val="•"/>
      <w:lvlJc w:val="left"/>
      <w:pPr>
        <w:ind w:left="2740" w:hanging="252"/>
      </w:pPr>
      <w:rPr>
        <w:rFonts w:hint="default"/>
        <w:lang w:val="en-US" w:eastAsia="en-US" w:bidi="ar-SA"/>
      </w:rPr>
    </w:lvl>
    <w:lvl w:ilvl="6" w:tplc="36585EB4">
      <w:numFmt w:val="bullet"/>
      <w:lvlText w:val="•"/>
      <w:lvlJc w:val="left"/>
      <w:pPr>
        <w:ind w:left="3268" w:hanging="252"/>
      </w:pPr>
      <w:rPr>
        <w:rFonts w:hint="default"/>
        <w:lang w:val="en-US" w:eastAsia="en-US" w:bidi="ar-SA"/>
      </w:rPr>
    </w:lvl>
    <w:lvl w:ilvl="7" w:tplc="8AE89092">
      <w:numFmt w:val="bullet"/>
      <w:lvlText w:val="•"/>
      <w:lvlJc w:val="left"/>
      <w:pPr>
        <w:ind w:left="3796" w:hanging="252"/>
      </w:pPr>
      <w:rPr>
        <w:rFonts w:hint="default"/>
        <w:lang w:val="en-US" w:eastAsia="en-US" w:bidi="ar-SA"/>
      </w:rPr>
    </w:lvl>
    <w:lvl w:ilvl="8" w:tplc="A9D02574">
      <w:numFmt w:val="bullet"/>
      <w:lvlText w:val="•"/>
      <w:lvlJc w:val="left"/>
      <w:pPr>
        <w:ind w:left="4324" w:hanging="252"/>
      </w:pPr>
      <w:rPr>
        <w:rFonts w:hint="default"/>
        <w:lang w:val="en-US" w:eastAsia="en-US" w:bidi="ar-SA"/>
      </w:rPr>
    </w:lvl>
  </w:abstractNum>
  <w:abstractNum w:abstractNumId="24" w15:restartNumberingAfterBreak="0">
    <w:nsid w:val="56A66269"/>
    <w:multiLevelType w:val="hybridMultilevel"/>
    <w:tmpl w:val="298E79CA"/>
    <w:lvl w:ilvl="0" w:tplc="C6ECDA12">
      <w:start w:val="1"/>
      <w:numFmt w:val="decimal"/>
      <w:lvlText w:val="[%1]"/>
      <w:lvlJc w:val="left"/>
      <w:pPr>
        <w:ind w:left="460" w:hanging="354"/>
      </w:pPr>
      <w:rPr>
        <w:rFonts w:ascii="Times New Roman" w:eastAsia="Times New Roman" w:hAnsi="Times New Roman" w:cs="Times New Roman" w:hint="default"/>
        <w:spacing w:val="-1"/>
        <w:w w:val="100"/>
        <w:sz w:val="16"/>
        <w:szCs w:val="16"/>
        <w:lang w:val="en-US" w:eastAsia="en-US" w:bidi="ar-SA"/>
      </w:rPr>
    </w:lvl>
    <w:lvl w:ilvl="1" w:tplc="6E508FEA">
      <w:numFmt w:val="bullet"/>
      <w:lvlText w:val="•"/>
      <w:lvlJc w:val="left"/>
      <w:pPr>
        <w:ind w:left="915" w:hanging="354"/>
      </w:pPr>
      <w:rPr>
        <w:rFonts w:hint="default"/>
        <w:lang w:val="en-US" w:eastAsia="en-US" w:bidi="ar-SA"/>
      </w:rPr>
    </w:lvl>
    <w:lvl w:ilvl="2" w:tplc="AE7EAA42">
      <w:numFmt w:val="bullet"/>
      <w:lvlText w:val="•"/>
      <w:lvlJc w:val="left"/>
      <w:pPr>
        <w:ind w:left="1371" w:hanging="354"/>
      </w:pPr>
      <w:rPr>
        <w:rFonts w:hint="default"/>
        <w:lang w:val="en-US" w:eastAsia="en-US" w:bidi="ar-SA"/>
      </w:rPr>
    </w:lvl>
    <w:lvl w:ilvl="3" w:tplc="4FB89816">
      <w:numFmt w:val="bullet"/>
      <w:lvlText w:val="•"/>
      <w:lvlJc w:val="left"/>
      <w:pPr>
        <w:ind w:left="1826" w:hanging="354"/>
      </w:pPr>
      <w:rPr>
        <w:rFonts w:hint="default"/>
        <w:lang w:val="en-US" w:eastAsia="en-US" w:bidi="ar-SA"/>
      </w:rPr>
    </w:lvl>
    <w:lvl w:ilvl="4" w:tplc="EDA69C2E">
      <w:numFmt w:val="bullet"/>
      <w:lvlText w:val="•"/>
      <w:lvlJc w:val="left"/>
      <w:pPr>
        <w:ind w:left="2282" w:hanging="354"/>
      </w:pPr>
      <w:rPr>
        <w:rFonts w:hint="default"/>
        <w:lang w:val="en-US" w:eastAsia="en-US" w:bidi="ar-SA"/>
      </w:rPr>
    </w:lvl>
    <w:lvl w:ilvl="5" w:tplc="0F86F310">
      <w:numFmt w:val="bullet"/>
      <w:lvlText w:val="•"/>
      <w:lvlJc w:val="left"/>
      <w:pPr>
        <w:ind w:left="2737" w:hanging="354"/>
      </w:pPr>
      <w:rPr>
        <w:rFonts w:hint="default"/>
        <w:lang w:val="en-US" w:eastAsia="en-US" w:bidi="ar-SA"/>
      </w:rPr>
    </w:lvl>
    <w:lvl w:ilvl="6" w:tplc="6EFAF364">
      <w:numFmt w:val="bullet"/>
      <w:lvlText w:val="•"/>
      <w:lvlJc w:val="left"/>
      <w:pPr>
        <w:ind w:left="3193" w:hanging="354"/>
      </w:pPr>
      <w:rPr>
        <w:rFonts w:hint="default"/>
        <w:lang w:val="en-US" w:eastAsia="en-US" w:bidi="ar-SA"/>
      </w:rPr>
    </w:lvl>
    <w:lvl w:ilvl="7" w:tplc="D2547F0A">
      <w:numFmt w:val="bullet"/>
      <w:lvlText w:val="•"/>
      <w:lvlJc w:val="left"/>
      <w:pPr>
        <w:ind w:left="3648" w:hanging="354"/>
      </w:pPr>
      <w:rPr>
        <w:rFonts w:hint="default"/>
        <w:lang w:val="en-US" w:eastAsia="en-US" w:bidi="ar-SA"/>
      </w:rPr>
    </w:lvl>
    <w:lvl w:ilvl="8" w:tplc="3B98A4BE">
      <w:numFmt w:val="bullet"/>
      <w:lvlText w:val="•"/>
      <w:lvlJc w:val="left"/>
      <w:pPr>
        <w:ind w:left="4104" w:hanging="354"/>
      </w:pPr>
      <w:rPr>
        <w:rFonts w:hint="default"/>
        <w:lang w:val="en-US" w:eastAsia="en-US" w:bidi="ar-SA"/>
      </w:rPr>
    </w:lvl>
  </w:abstractNum>
  <w:abstractNum w:abstractNumId="25" w15:restartNumberingAfterBreak="0">
    <w:nsid w:val="62DC4B39"/>
    <w:multiLevelType w:val="singleLevel"/>
    <w:tmpl w:val="50844B22"/>
    <w:name w:val="WW8Num16"/>
    <w:lvl w:ilvl="0">
      <w:start w:val="1"/>
      <w:numFmt w:val="decimal"/>
      <w:lvlText w:val="[%1]"/>
      <w:lvlJc w:val="left"/>
      <w:pPr>
        <w:tabs>
          <w:tab w:val="left" w:pos="0"/>
        </w:tabs>
        <w:ind w:left="360" w:hanging="360"/>
      </w:pPr>
      <w:rPr>
        <w:rFonts w:hint="default"/>
        <w:sz w:val="22"/>
        <w:szCs w:val="18"/>
        <w:lang w:val="it-IT"/>
      </w:rPr>
    </w:lvl>
  </w:abstractNum>
  <w:abstractNum w:abstractNumId="26" w15:restartNumberingAfterBreak="0">
    <w:nsid w:val="71DA100E"/>
    <w:multiLevelType w:val="multilevel"/>
    <w:tmpl w:val="67162180"/>
    <w:lvl w:ilvl="0">
      <w:start w:val="1"/>
      <w:numFmt w:val="decimal"/>
      <w:lvlText w:val="%1"/>
      <w:lvlJc w:val="left"/>
      <w:pPr>
        <w:ind w:left="360" w:hanging="360"/>
      </w:pPr>
      <w:rPr>
        <w:rFonts w:hint="default"/>
      </w:rPr>
    </w:lvl>
    <w:lvl w:ilvl="1">
      <w:start w:val="1"/>
      <w:numFmt w:val="decimal"/>
      <w:lvlText w:val="%1.%2"/>
      <w:lvlJc w:val="left"/>
      <w:pPr>
        <w:ind w:left="1152" w:hanging="72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392" w:hanging="180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616" w:hanging="2160"/>
      </w:pPr>
      <w:rPr>
        <w:rFonts w:hint="default"/>
      </w:rPr>
    </w:lvl>
  </w:abstractNum>
  <w:abstractNum w:abstractNumId="27" w15:restartNumberingAfterBreak="0">
    <w:nsid w:val="71E11189"/>
    <w:multiLevelType w:val="hybridMultilevel"/>
    <w:tmpl w:val="D74E7926"/>
    <w:lvl w:ilvl="0" w:tplc="4C64F8E6">
      <w:start w:val="1"/>
      <w:numFmt w:val="upperRoman"/>
      <w:lvlText w:val="%1."/>
      <w:lvlJc w:val="left"/>
      <w:pPr>
        <w:ind w:left="2037" w:hanging="274"/>
        <w:jc w:val="right"/>
      </w:pPr>
      <w:rPr>
        <w:rFonts w:ascii="Times New Roman" w:eastAsia="Times New Roman" w:hAnsi="Times New Roman" w:cs="Times New Roman" w:hint="default"/>
        <w:w w:val="99"/>
        <w:sz w:val="20"/>
        <w:szCs w:val="20"/>
        <w:lang w:val="en-US" w:eastAsia="en-US" w:bidi="ar-SA"/>
      </w:rPr>
    </w:lvl>
    <w:lvl w:ilvl="1" w:tplc="4866E376">
      <w:numFmt w:val="bullet"/>
      <w:lvlText w:val="•"/>
      <w:lvlJc w:val="left"/>
      <w:pPr>
        <w:ind w:left="2337" w:hanging="274"/>
      </w:pPr>
      <w:rPr>
        <w:rFonts w:hint="default"/>
        <w:lang w:val="en-US" w:eastAsia="en-US" w:bidi="ar-SA"/>
      </w:rPr>
    </w:lvl>
    <w:lvl w:ilvl="2" w:tplc="CD1C4996">
      <w:numFmt w:val="bullet"/>
      <w:lvlText w:val="•"/>
      <w:lvlJc w:val="left"/>
      <w:pPr>
        <w:ind w:left="2635" w:hanging="274"/>
      </w:pPr>
      <w:rPr>
        <w:rFonts w:hint="default"/>
        <w:lang w:val="en-US" w:eastAsia="en-US" w:bidi="ar-SA"/>
      </w:rPr>
    </w:lvl>
    <w:lvl w:ilvl="3" w:tplc="9790EBF2">
      <w:numFmt w:val="bullet"/>
      <w:lvlText w:val="•"/>
      <w:lvlJc w:val="left"/>
      <w:pPr>
        <w:ind w:left="2933" w:hanging="274"/>
      </w:pPr>
      <w:rPr>
        <w:rFonts w:hint="default"/>
        <w:lang w:val="en-US" w:eastAsia="en-US" w:bidi="ar-SA"/>
      </w:rPr>
    </w:lvl>
    <w:lvl w:ilvl="4" w:tplc="591E65B4">
      <w:numFmt w:val="bullet"/>
      <w:lvlText w:val="•"/>
      <w:lvlJc w:val="left"/>
      <w:pPr>
        <w:ind w:left="3230" w:hanging="274"/>
      </w:pPr>
      <w:rPr>
        <w:rFonts w:hint="default"/>
        <w:lang w:val="en-US" w:eastAsia="en-US" w:bidi="ar-SA"/>
      </w:rPr>
    </w:lvl>
    <w:lvl w:ilvl="5" w:tplc="1C4E61C8">
      <w:numFmt w:val="bullet"/>
      <w:lvlText w:val="•"/>
      <w:lvlJc w:val="left"/>
      <w:pPr>
        <w:ind w:left="3528" w:hanging="274"/>
      </w:pPr>
      <w:rPr>
        <w:rFonts w:hint="default"/>
        <w:lang w:val="en-US" w:eastAsia="en-US" w:bidi="ar-SA"/>
      </w:rPr>
    </w:lvl>
    <w:lvl w:ilvl="6" w:tplc="A3F801D2">
      <w:numFmt w:val="bullet"/>
      <w:lvlText w:val="•"/>
      <w:lvlJc w:val="left"/>
      <w:pPr>
        <w:ind w:left="3826" w:hanging="274"/>
      </w:pPr>
      <w:rPr>
        <w:rFonts w:hint="default"/>
        <w:lang w:val="en-US" w:eastAsia="en-US" w:bidi="ar-SA"/>
      </w:rPr>
    </w:lvl>
    <w:lvl w:ilvl="7" w:tplc="35D0B7B6">
      <w:numFmt w:val="bullet"/>
      <w:lvlText w:val="•"/>
      <w:lvlJc w:val="left"/>
      <w:pPr>
        <w:ind w:left="4123" w:hanging="274"/>
      </w:pPr>
      <w:rPr>
        <w:rFonts w:hint="default"/>
        <w:lang w:val="en-US" w:eastAsia="en-US" w:bidi="ar-SA"/>
      </w:rPr>
    </w:lvl>
    <w:lvl w:ilvl="8" w:tplc="72B62376">
      <w:numFmt w:val="bullet"/>
      <w:lvlText w:val="•"/>
      <w:lvlJc w:val="left"/>
      <w:pPr>
        <w:ind w:left="4421" w:hanging="274"/>
      </w:pPr>
      <w:rPr>
        <w:rFonts w:hint="default"/>
        <w:lang w:val="en-US" w:eastAsia="en-US" w:bidi="ar-SA"/>
      </w:rPr>
    </w:lvl>
  </w:abstractNum>
  <w:abstractNum w:abstractNumId="28" w15:restartNumberingAfterBreak="0">
    <w:nsid w:val="72091C48"/>
    <w:multiLevelType w:val="hybridMultilevel"/>
    <w:tmpl w:val="7C64895A"/>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75C007A1"/>
    <w:multiLevelType w:val="hybridMultilevel"/>
    <w:tmpl w:val="26DC4002"/>
    <w:lvl w:ilvl="0" w:tplc="F58E03D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F63DB3"/>
    <w:multiLevelType w:val="hybridMultilevel"/>
    <w:tmpl w:val="69AC545C"/>
    <w:lvl w:ilvl="0" w:tplc="C3D448D8">
      <w:numFmt w:val="bullet"/>
      <w:lvlText w:val=""/>
      <w:lvlJc w:val="left"/>
      <w:pPr>
        <w:ind w:left="827" w:hanging="360"/>
      </w:pPr>
      <w:rPr>
        <w:rFonts w:ascii="Symbol" w:eastAsia="Symbol" w:hAnsi="Symbol" w:cs="Symbol" w:hint="default"/>
        <w:w w:val="99"/>
        <w:sz w:val="20"/>
        <w:szCs w:val="20"/>
        <w:lang w:val="en-US" w:eastAsia="en-US" w:bidi="ar-SA"/>
      </w:rPr>
    </w:lvl>
    <w:lvl w:ilvl="1" w:tplc="0B2CE1B4">
      <w:numFmt w:val="bullet"/>
      <w:lvlText w:val="•"/>
      <w:lvlJc w:val="left"/>
      <w:pPr>
        <w:ind w:left="1276" w:hanging="360"/>
      </w:pPr>
      <w:rPr>
        <w:rFonts w:hint="default"/>
        <w:lang w:val="en-US" w:eastAsia="en-US" w:bidi="ar-SA"/>
      </w:rPr>
    </w:lvl>
    <w:lvl w:ilvl="2" w:tplc="58AC137A">
      <w:numFmt w:val="bullet"/>
      <w:lvlText w:val="•"/>
      <w:lvlJc w:val="left"/>
      <w:pPr>
        <w:ind w:left="1732" w:hanging="360"/>
      </w:pPr>
      <w:rPr>
        <w:rFonts w:hint="default"/>
        <w:lang w:val="en-US" w:eastAsia="en-US" w:bidi="ar-SA"/>
      </w:rPr>
    </w:lvl>
    <w:lvl w:ilvl="3" w:tplc="7D48C86C">
      <w:numFmt w:val="bullet"/>
      <w:lvlText w:val="•"/>
      <w:lvlJc w:val="left"/>
      <w:pPr>
        <w:ind w:left="2188" w:hanging="360"/>
      </w:pPr>
      <w:rPr>
        <w:rFonts w:hint="default"/>
        <w:lang w:val="en-US" w:eastAsia="en-US" w:bidi="ar-SA"/>
      </w:rPr>
    </w:lvl>
    <w:lvl w:ilvl="4" w:tplc="8C7A9FC0">
      <w:numFmt w:val="bullet"/>
      <w:lvlText w:val="•"/>
      <w:lvlJc w:val="left"/>
      <w:pPr>
        <w:ind w:left="2644" w:hanging="360"/>
      </w:pPr>
      <w:rPr>
        <w:rFonts w:hint="default"/>
        <w:lang w:val="en-US" w:eastAsia="en-US" w:bidi="ar-SA"/>
      </w:rPr>
    </w:lvl>
    <w:lvl w:ilvl="5" w:tplc="24EAAE4C">
      <w:numFmt w:val="bullet"/>
      <w:lvlText w:val="•"/>
      <w:lvlJc w:val="left"/>
      <w:pPr>
        <w:ind w:left="3100" w:hanging="360"/>
      </w:pPr>
      <w:rPr>
        <w:rFonts w:hint="default"/>
        <w:lang w:val="en-US" w:eastAsia="en-US" w:bidi="ar-SA"/>
      </w:rPr>
    </w:lvl>
    <w:lvl w:ilvl="6" w:tplc="2CD0B39A">
      <w:numFmt w:val="bullet"/>
      <w:lvlText w:val="•"/>
      <w:lvlJc w:val="left"/>
      <w:pPr>
        <w:ind w:left="3556" w:hanging="360"/>
      </w:pPr>
      <w:rPr>
        <w:rFonts w:hint="default"/>
        <w:lang w:val="en-US" w:eastAsia="en-US" w:bidi="ar-SA"/>
      </w:rPr>
    </w:lvl>
    <w:lvl w:ilvl="7" w:tplc="CD32A9A8">
      <w:numFmt w:val="bullet"/>
      <w:lvlText w:val="•"/>
      <w:lvlJc w:val="left"/>
      <w:pPr>
        <w:ind w:left="4012" w:hanging="360"/>
      </w:pPr>
      <w:rPr>
        <w:rFonts w:hint="default"/>
        <w:lang w:val="en-US" w:eastAsia="en-US" w:bidi="ar-SA"/>
      </w:rPr>
    </w:lvl>
    <w:lvl w:ilvl="8" w:tplc="33628B9A">
      <w:numFmt w:val="bullet"/>
      <w:lvlText w:val="•"/>
      <w:lvlJc w:val="left"/>
      <w:pPr>
        <w:ind w:left="4468" w:hanging="360"/>
      </w:pPr>
      <w:rPr>
        <w:rFonts w:hint="default"/>
        <w:lang w:val="en-US" w:eastAsia="en-US" w:bidi="ar-SA"/>
      </w:rPr>
    </w:lvl>
  </w:abstractNum>
  <w:abstractNum w:abstractNumId="31" w15:restartNumberingAfterBreak="0">
    <w:nsid w:val="79E50ADF"/>
    <w:multiLevelType w:val="hybridMultilevel"/>
    <w:tmpl w:val="82265626"/>
    <w:lvl w:ilvl="0" w:tplc="6A26B478">
      <w:numFmt w:val="bullet"/>
      <w:lvlText w:val=""/>
      <w:lvlJc w:val="left"/>
      <w:pPr>
        <w:ind w:left="827" w:hanging="360"/>
      </w:pPr>
      <w:rPr>
        <w:rFonts w:ascii="Symbol" w:eastAsia="Symbol" w:hAnsi="Symbol" w:cs="Symbol" w:hint="default"/>
        <w:w w:val="99"/>
        <w:sz w:val="20"/>
        <w:szCs w:val="20"/>
        <w:lang w:val="en-US" w:eastAsia="en-US" w:bidi="ar-SA"/>
      </w:rPr>
    </w:lvl>
    <w:lvl w:ilvl="1" w:tplc="EB56D17A">
      <w:numFmt w:val="bullet"/>
      <w:lvlText w:val="•"/>
      <w:lvlJc w:val="left"/>
      <w:pPr>
        <w:ind w:left="1239" w:hanging="360"/>
      </w:pPr>
      <w:rPr>
        <w:rFonts w:hint="default"/>
        <w:lang w:val="en-US" w:eastAsia="en-US" w:bidi="ar-SA"/>
      </w:rPr>
    </w:lvl>
    <w:lvl w:ilvl="2" w:tplc="F170192E">
      <w:numFmt w:val="bullet"/>
      <w:lvlText w:val="•"/>
      <w:lvlJc w:val="left"/>
      <w:pPr>
        <w:ind w:left="1659" w:hanging="360"/>
      </w:pPr>
      <w:rPr>
        <w:rFonts w:hint="default"/>
        <w:lang w:val="en-US" w:eastAsia="en-US" w:bidi="ar-SA"/>
      </w:rPr>
    </w:lvl>
    <w:lvl w:ilvl="3" w:tplc="662AD86C">
      <w:numFmt w:val="bullet"/>
      <w:lvlText w:val="•"/>
      <w:lvlJc w:val="left"/>
      <w:pPr>
        <w:ind w:left="2078" w:hanging="360"/>
      </w:pPr>
      <w:rPr>
        <w:rFonts w:hint="default"/>
        <w:lang w:val="en-US" w:eastAsia="en-US" w:bidi="ar-SA"/>
      </w:rPr>
    </w:lvl>
    <w:lvl w:ilvl="4" w:tplc="6144049A">
      <w:numFmt w:val="bullet"/>
      <w:lvlText w:val="•"/>
      <w:lvlJc w:val="left"/>
      <w:pPr>
        <w:ind w:left="2498" w:hanging="360"/>
      </w:pPr>
      <w:rPr>
        <w:rFonts w:hint="default"/>
        <w:lang w:val="en-US" w:eastAsia="en-US" w:bidi="ar-SA"/>
      </w:rPr>
    </w:lvl>
    <w:lvl w:ilvl="5" w:tplc="FB9EA3EE">
      <w:numFmt w:val="bullet"/>
      <w:lvlText w:val="•"/>
      <w:lvlJc w:val="left"/>
      <w:pPr>
        <w:ind w:left="2918" w:hanging="360"/>
      </w:pPr>
      <w:rPr>
        <w:rFonts w:hint="default"/>
        <w:lang w:val="en-US" w:eastAsia="en-US" w:bidi="ar-SA"/>
      </w:rPr>
    </w:lvl>
    <w:lvl w:ilvl="6" w:tplc="6F92A90C">
      <w:numFmt w:val="bullet"/>
      <w:lvlText w:val="•"/>
      <w:lvlJc w:val="left"/>
      <w:pPr>
        <w:ind w:left="3337" w:hanging="360"/>
      </w:pPr>
      <w:rPr>
        <w:rFonts w:hint="default"/>
        <w:lang w:val="en-US" w:eastAsia="en-US" w:bidi="ar-SA"/>
      </w:rPr>
    </w:lvl>
    <w:lvl w:ilvl="7" w:tplc="E3001FC0">
      <w:numFmt w:val="bullet"/>
      <w:lvlText w:val="•"/>
      <w:lvlJc w:val="left"/>
      <w:pPr>
        <w:ind w:left="3757" w:hanging="360"/>
      </w:pPr>
      <w:rPr>
        <w:rFonts w:hint="default"/>
        <w:lang w:val="en-US" w:eastAsia="en-US" w:bidi="ar-SA"/>
      </w:rPr>
    </w:lvl>
    <w:lvl w:ilvl="8" w:tplc="5B38FF48">
      <w:numFmt w:val="bullet"/>
      <w:lvlText w:val="•"/>
      <w:lvlJc w:val="left"/>
      <w:pPr>
        <w:ind w:left="4177" w:hanging="360"/>
      </w:pPr>
      <w:rPr>
        <w:rFonts w:hint="default"/>
        <w:lang w:val="en-US" w:eastAsia="en-US" w:bidi="ar-SA"/>
      </w:rPr>
    </w:lvl>
  </w:abstractNum>
  <w:abstractNum w:abstractNumId="32" w15:restartNumberingAfterBreak="0">
    <w:nsid w:val="7A2B1F5A"/>
    <w:multiLevelType w:val="hybridMultilevel"/>
    <w:tmpl w:val="0D140244"/>
    <w:lvl w:ilvl="0" w:tplc="C60AE24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D63E52"/>
    <w:multiLevelType w:val="hybridMultilevel"/>
    <w:tmpl w:val="FE3AC3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B570F6B"/>
    <w:multiLevelType w:val="multilevel"/>
    <w:tmpl w:val="37228E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E012F75"/>
    <w:multiLevelType w:val="multilevel"/>
    <w:tmpl w:val="C494120E"/>
    <w:styleLink w:val="RTFNum2"/>
    <w:lvl w:ilvl="0">
      <w:start w:val="1"/>
      <w:numFmt w:val="none"/>
      <w:lvlText w:val="·%1"/>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1950506644">
    <w:abstractNumId w:val="6"/>
  </w:num>
  <w:num w:numId="2" w16cid:durableId="1863519794">
    <w:abstractNumId w:val="9"/>
  </w:num>
  <w:num w:numId="3" w16cid:durableId="1307930307">
    <w:abstractNumId w:val="4"/>
  </w:num>
  <w:num w:numId="4" w16cid:durableId="1856504165">
    <w:abstractNumId w:val="11"/>
  </w:num>
  <w:num w:numId="5" w16cid:durableId="1896505079">
    <w:abstractNumId w:val="8"/>
  </w:num>
  <w:num w:numId="6" w16cid:durableId="589310825">
    <w:abstractNumId w:val="5"/>
  </w:num>
  <w:num w:numId="7" w16cid:durableId="557670784">
    <w:abstractNumId w:val="7"/>
  </w:num>
  <w:num w:numId="8" w16cid:durableId="1870490937">
    <w:abstractNumId w:val="10"/>
  </w:num>
  <w:num w:numId="9" w16cid:durableId="1355570849">
    <w:abstractNumId w:val="16"/>
  </w:num>
  <w:num w:numId="10" w16cid:durableId="375547812">
    <w:abstractNumId w:val="29"/>
  </w:num>
  <w:num w:numId="11" w16cid:durableId="800340892">
    <w:abstractNumId w:val="35"/>
  </w:num>
  <w:num w:numId="12" w16cid:durableId="1230194793">
    <w:abstractNumId w:val="17"/>
  </w:num>
  <w:num w:numId="13" w16cid:durableId="524755140">
    <w:abstractNumId w:val="13"/>
  </w:num>
  <w:num w:numId="14" w16cid:durableId="1059354588">
    <w:abstractNumId w:val="32"/>
  </w:num>
  <w:num w:numId="15" w16cid:durableId="101384870">
    <w:abstractNumId w:val="24"/>
  </w:num>
  <w:num w:numId="16" w16cid:durableId="1847669457">
    <w:abstractNumId w:val="22"/>
  </w:num>
  <w:num w:numId="17" w16cid:durableId="1225994368">
    <w:abstractNumId w:val="23"/>
  </w:num>
  <w:num w:numId="18" w16cid:durableId="1851287893">
    <w:abstractNumId w:val="21"/>
  </w:num>
  <w:num w:numId="19" w16cid:durableId="726487523">
    <w:abstractNumId w:val="30"/>
  </w:num>
  <w:num w:numId="20" w16cid:durableId="28192770">
    <w:abstractNumId w:val="31"/>
  </w:num>
  <w:num w:numId="21" w16cid:durableId="327099710">
    <w:abstractNumId w:val="18"/>
  </w:num>
  <w:num w:numId="22" w16cid:durableId="1957249845">
    <w:abstractNumId w:val="15"/>
  </w:num>
  <w:num w:numId="23" w16cid:durableId="671375831">
    <w:abstractNumId w:val="27"/>
  </w:num>
  <w:num w:numId="24" w16cid:durableId="210963722">
    <w:abstractNumId w:val="28"/>
  </w:num>
  <w:num w:numId="25" w16cid:durableId="397020905">
    <w:abstractNumId w:val="20"/>
  </w:num>
  <w:num w:numId="26" w16cid:durableId="1004473604">
    <w:abstractNumId w:val="14"/>
  </w:num>
  <w:num w:numId="27" w16cid:durableId="169950920">
    <w:abstractNumId w:val="19"/>
  </w:num>
  <w:num w:numId="28" w16cid:durableId="10689011">
    <w:abstractNumId w:val="34"/>
  </w:num>
  <w:num w:numId="29" w16cid:durableId="1806972564">
    <w:abstractNumId w:val="33"/>
  </w:num>
  <w:num w:numId="30" w16cid:durableId="1336106185">
    <w:abstractNumId w:val="12"/>
  </w:num>
  <w:num w:numId="31" w16cid:durableId="140658965">
    <w:abstractNumId w:val="2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useFELayout/>
    <w:compatSetting w:name="compatibilityMode" w:uri="http://schemas.microsoft.com/office/word" w:val="12"/>
    <w:compatSetting w:name="useWord2013TrackBottomHyphenation" w:uri="http://schemas.microsoft.com/office/word" w:val="1"/>
  </w:compat>
  <w:rsids>
    <w:rsidRoot w:val="001B7A61"/>
    <w:rsid w:val="00000200"/>
    <w:rsid w:val="0000196E"/>
    <w:rsid w:val="0000527C"/>
    <w:rsid w:val="00006454"/>
    <w:rsid w:val="00012FB2"/>
    <w:rsid w:val="00026458"/>
    <w:rsid w:val="00027A94"/>
    <w:rsid w:val="00031FB7"/>
    <w:rsid w:val="00032CE9"/>
    <w:rsid w:val="000427FA"/>
    <w:rsid w:val="00043E5D"/>
    <w:rsid w:val="00053897"/>
    <w:rsid w:val="000563D4"/>
    <w:rsid w:val="0006152B"/>
    <w:rsid w:val="00063FA3"/>
    <w:rsid w:val="00065103"/>
    <w:rsid w:val="000717F7"/>
    <w:rsid w:val="00076694"/>
    <w:rsid w:val="00095C7D"/>
    <w:rsid w:val="00096D08"/>
    <w:rsid w:val="00096EB0"/>
    <w:rsid w:val="000A2AFC"/>
    <w:rsid w:val="000A2C35"/>
    <w:rsid w:val="000A2F95"/>
    <w:rsid w:val="000A4EEB"/>
    <w:rsid w:val="000A4F93"/>
    <w:rsid w:val="000B097E"/>
    <w:rsid w:val="000B171F"/>
    <w:rsid w:val="000B370A"/>
    <w:rsid w:val="000C07E6"/>
    <w:rsid w:val="000C6A6B"/>
    <w:rsid w:val="000C7E74"/>
    <w:rsid w:val="000D082A"/>
    <w:rsid w:val="000E10FB"/>
    <w:rsid w:val="000E208D"/>
    <w:rsid w:val="000F6AA2"/>
    <w:rsid w:val="00105C37"/>
    <w:rsid w:val="001061B1"/>
    <w:rsid w:val="0010627A"/>
    <w:rsid w:val="001065AB"/>
    <w:rsid w:val="00106D85"/>
    <w:rsid w:val="00111D6A"/>
    <w:rsid w:val="00114239"/>
    <w:rsid w:val="00120252"/>
    <w:rsid w:val="001232FC"/>
    <w:rsid w:val="00124ED2"/>
    <w:rsid w:val="00124F3F"/>
    <w:rsid w:val="00125119"/>
    <w:rsid w:val="00126ECB"/>
    <w:rsid w:val="00130C17"/>
    <w:rsid w:val="00131944"/>
    <w:rsid w:val="00137112"/>
    <w:rsid w:val="001501A2"/>
    <w:rsid w:val="00150EE2"/>
    <w:rsid w:val="001531F1"/>
    <w:rsid w:val="0016310C"/>
    <w:rsid w:val="00171EE9"/>
    <w:rsid w:val="00175599"/>
    <w:rsid w:val="001854E4"/>
    <w:rsid w:val="00192303"/>
    <w:rsid w:val="001A23D3"/>
    <w:rsid w:val="001A6D5A"/>
    <w:rsid w:val="001A7AB4"/>
    <w:rsid w:val="001B3495"/>
    <w:rsid w:val="001B4B25"/>
    <w:rsid w:val="001B77A5"/>
    <w:rsid w:val="001B7A61"/>
    <w:rsid w:val="001C0DBC"/>
    <w:rsid w:val="001C3505"/>
    <w:rsid w:val="001C6D68"/>
    <w:rsid w:val="001D5C17"/>
    <w:rsid w:val="001E0BD1"/>
    <w:rsid w:val="001E2B46"/>
    <w:rsid w:val="001E60DA"/>
    <w:rsid w:val="001E73B7"/>
    <w:rsid w:val="001F0907"/>
    <w:rsid w:val="001F2757"/>
    <w:rsid w:val="00200940"/>
    <w:rsid w:val="00203D34"/>
    <w:rsid w:val="00206BE9"/>
    <w:rsid w:val="00211BC6"/>
    <w:rsid w:val="002240C5"/>
    <w:rsid w:val="002303DC"/>
    <w:rsid w:val="0023623A"/>
    <w:rsid w:val="0024357F"/>
    <w:rsid w:val="00246245"/>
    <w:rsid w:val="00252D7A"/>
    <w:rsid w:val="002710AC"/>
    <w:rsid w:val="00271E75"/>
    <w:rsid w:val="002722FE"/>
    <w:rsid w:val="00272F74"/>
    <w:rsid w:val="00277391"/>
    <w:rsid w:val="002774BE"/>
    <w:rsid w:val="0028284F"/>
    <w:rsid w:val="00287415"/>
    <w:rsid w:val="00290726"/>
    <w:rsid w:val="002A1B36"/>
    <w:rsid w:val="002A65C4"/>
    <w:rsid w:val="002A7BD1"/>
    <w:rsid w:val="002A7FE3"/>
    <w:rsid w:val="002B4D18"/>
    <w:rsid w:val="002B6530"/>
    <w:rsid w:val="002B6992"/>
    <w:rsid w:val="002B6D62"/>
    <w:rsid w:val="002C0CFE"/>
    <w:rsid w:val="002C34B5"/>
    <w:rsid w:val="002D6FE9"/>
    <w:rsid w:val="002D7106"/>
    <w:rsid w:val="002E2313"/>
    <w:rsid w:val="002E3F50"/>
    <w:rsid w:val="002E4DE9"/>
    <w:rsid w:val="002F2D4C"/>
    <w:rsid w:val="002F73BE"/>
    <w:rsid w:val="00302F0A"/>
    <w:rsid w:val="00307208"/>
    <w:rsid w:val="00310F11"/>
    <w:rsid w:val="00321748"/>
    <w:rsid w:val="0032522B"/>
    <w:rsid w:val="003265EE"/>
    <w:rsid w:val="00332DC6"/>
    <w:rsid w:val="00340AC0"/>
    <w:rsid w:val="0034569F"/>
    <w:rsid w:val="00355F18"/>
    <w:rsid w:val="00361B4B"/>
    <w:rsid w:val="0036558E"/>
    <w:rsid w:val="003679C8"/>
    <w:rsid w:val="00377662"/>
    <w:rsid w:val="00385A30"/>
    <w:rsid w:val="00390EEA"/>
    <w:rsid w:val="00394A09"/>
    <w:rsid w:val="003A3304"/>
    <w:rsid w:val="003A485B"/>
    <w:rsid w:val="003A4E0F"/>
    <w:rsid w:val="003A53FD"/>
    <w:rsid w:val="003A6311"/>
    <w:rsid w:val="003B1ACE"/>
    <w:rsid w:val="003B3CB5"/>
    <w:rsid w:val="003B4163"/>
    <w:rsid w:val="003B65E2"/>
    <w:rsid w:val="003B6ED8"/>
    <w:rsid w:val="003C1BC8"/>
    <w:rsid w:val="003C2635"/>
    <w:rsid w:val="003C43B3"/>
    <w:rsid w:val="003D24D9"/>
    <w:rsid w:val="003D4FA1"/>
    <w:rsid w:val="003E65B6"/>
    <w:rsid w:val="003E7A10"/>
    <w:rsid w:val="003F1433"/>
    <w:rsid w:val="003F1A22"/>
    <w:rsid w:val="003F3E84"/>
    <w:rsid w:val="003F664E"/>
    <w:rsid w:val="003F6CDF"/>
    <w:rsid w:val="004108E1"/>
    <w:rsid w:val="00413E33"/>
    <w:rsid w:val="004140C2"/>
    <w:rsid w:val="004145E6"/>
    <w:rsid w:val="00415305"/>
    <w:rsid w:val="00416934"/>
    <w:rsid w:val="00416C70"/>
    <w:rsid w:val="0042659C"/>
    <w:rsid w:val="00443648"/>
    <w:rsid w:val="00447904"/>
    <w:rsid w:val="0045150D"/>
    <w:rsid w:val="00463F36"/>
    <w:rsid w:val="004648AC"/>
    <w:rsid w:val="00466566"/>
    <w:rsid w:val="0046658A"/>
    <w:rsid w:val="00466DF1"/>
    <w:rsid w:val="00474526"/>
    <w:rsid w:val="00474956"/>
    <w:rsid w:val="00483B13"/>
    <w:rsid w:val="00487710"/>
    <w:rsid w:val="00487A69"/>
    <w:rsid w:val="00495287"/>
    <w:rsid w:val="004A0D91"/>
    <w:rsid w:val="004A1E35"/>
    <w:rsid w:val="004B16CE"/>
    <w:rsid w:val="004B38D5"/>
    <w:rsid w:val="004B58A1"/>
    <w:rsid w:val="004C4B1C"/>
    <w:rsid w:val="004D3B7C"/>
    <w:rsid w:val="004D681B"/>
    <w:rsid w:val="004D69B7"/>
    <w:rsid w:val="004D7A67"/>
    <w:rsid w:val="004E52BE"/>
    <w:rsid w:val="004F278A"/>
    <w:rsid w:val="004F682A"/>
    <w:rsid w:val="004F7464"/>
    <w:rsid w:val="004F7D77"/>
    <w:rsid w:val="005018C5"/>
    <w:rsid w:val="00503F9D"/>
    <w:rsid w:val="00510692"/>
    <w:rsid w:val="0051205B"/>
    <w:rsid w:val="00513C52"/>
    <w:rsid w:val="0051572D"/>
    <w:rsid w:val="00517607"/>
    <w:rsid w:val="0052238F"/>
    <w:rsid w:val="0052605E"/>
    <w:rsid w:val="0053794B"/>
    <w:rsid w:val="00537D8C"/>
    <w:rsid w:val="00541086"/>
    <w:rsid w:val="00545FB9"/>
    <w:rsid w:val="00550268"/>
    <w:rsid w:val="0056676A"/>
    <w:rsid w:val="00566A23"/>
    <w:rsid w:val="00570477"/>
    <w:rsid w:val="00570C40"/>
    <w:rsid w:val="00573D64"/>
    <w:rsid w:val="00576992"/>
    <w:rsid w:val="005825D5"/>
    <w:rsid w:val="005841AA"/>
    <w:rsid w:val="00584D2B"/>
    <w:rsid w:val="00585189"/>
    <w:rsid w:val="005A1B00"/>
    <w:rsid w:val="005D02EF"/>
    <w:rsid w:val="005D08F3"/>
    <w:rsid w:val="005D14C1"/>
    <w:rsid w:val="005D590C"/>
    <w:rsid w:val="005E1F71"/>
    <w:rsid w:val="005F4A09"/>
    <w:rsid w:val="005F7187"/>
    <w:rsid w:val="00615DC2"/>
    <w:rsid w:val="00620440"/>
    <w:rsid w:val="0062570C"/>
    <w:rsid w:val="00632DFC"/>
    <w:rsid w:val="00633216"/>
    <w:rsid w:val="00633D0E"/>
    <w:rsid w:val="006400F3"/>
    <w:rsid w:val="00643C54"/>
    <w:rsid w:val="00644BDE"/>
    <w:rsid w:val="00646B75"/>
    <w:rsid w:val="00656272"/>
    <w:rsid w:val="00656641"/>
    <w:rsid w:val="00657004"/>
    <w:rsid w:val="0065728E"/>
    <w:rsid w:val="00674BBF"/>
    <w:rsid w:val="00676DC4"/>
    <w:rsid w:val="00694B5E"/>
    <w:rsid w:val="00695DE6"/>
    <w:rsid w:val="00697A22"/>
    <w:rsid w:val="006A2B6A"/>
    <w:rsid w:val="006A5209"/>
    <w:rsid w:val="006B2155"/>
    <w:rsid w:val="006B4859"/>
    <w:rsid w:val="006B62D4"/>
    <w:rsid w:val="006C7785"/>
    <w:rsid w:val="006D1054"/>
    <w:rsid w:val="006D2BA9"/>
    <w:rsid w:val="006D4C9D"/>
    <w:rsid w:val="006D5463"/>
    <w:rsid w:val="006D677D"/>
    <w:rsid w:val="006E17D2"/>
    <w:rsid w:val="006E2B2D"/>
    <w:rsid w:val="006E3690"/>
    <w:rsid w:val="006E3D45"/>
    <w:rsid w:val="006E61CC"/>
    <w:rsid w:val="006E6C2A"/>
    <w:rsid w:val="006F3183"/>
    <w:rsid w:val="00704409"/>
    <w:rsid w:val="00707C7E"/>
    <w:rsid w:val="007219CB"/>
    <w:rsid w:val="00725215"/>
    <w:rsid w:val="007304CE"/>
    <w:rsid w:val="00736E15"/>
    <w:rsid w:val="00746AA6"/>
    <w:rsid w:val="00750FB1"/>
    <w:rsid w:val="00751ED0"/>
    <w:rsid w:val="00753C85"/>
    <w:rsid w:val="00756588"/>
    <w:rsid w:val="00766E3A"/>
    <w:rsid w:val="00767015"/>
    <w:rsid w:val="007726C3"/>
    <w:rsid w:val="007732FB"/>
    <w:rsid w:val="00773789"/>
    <w:rsid w:val="007843B4"/>
    <w:rsid w:val="007858DE"/>
    <w:rsid w:val="00785B4F"/>
    <w:rsid w:val="00787025"/>
    <w:rsid w:val="007A1CFD"/>
    <w:rsid w:val="007A2BCE"/>
    <w:rsid w:val="007A36C9"/>
    <w:rsid w:val="007A7781"/>
    <w:rsid w:val="007B0964"/>
    <w:rsid w:val="007B4286"/>
    <w:rsid w:val="007B7EA3"/>
    <w:rsid w:val="007C056C"/>
    <w:rsid w:val="007C0EC9"/>
    <w:rsid w:val="007C2CF7"/>
    <w:rsid w:val="007C44E5"/>
    <w:rsid w:val="007C4E02"/>
    <w:rsid w:val="007D3573"/>
    <w:rsid w:val="007D5FE6"/>
    <w:rsid w:val="007E30BC"/>
    <w:rsid w:val="007F0680"/>
    <w:rsid w:val="007F10EF"/>
    <w:rsid w:val="007F1ED9"/>
    <w:rsid w:val="007F34F7"/>
    <w:rsid w:val="00802B32"/>
    <w:rsid w:val="00811236"/>
    <w:rsid w:val="00812979"/>
    <w:rsid w:val="00813DC7"/>
    <w:rsid w:val="00814A61"/>
    <w:rsid w:val="00820D6E"/>
    <w:rsid w:val="00821A5D"/>
    <w:rsid w:val="008220EE"/>
    <w:rsid w:val="00822957"/>
    <w:rsid w:val="00833659"/>
    <w:rsid w:val="008476B1"/>
    <w:rsid w:val="00847AC9"/>
    <w:rsid w:val="00851950"/>
    <w:rsid w:val="00857D41"/>
    <w:rsid w:val="0086140D"/>
    <w:rsid w:val="0086181C"/>
    <w:rsid w:val="00862088"/>
    <w:rsid w:val="00870E3C"/>
    <w:rsid w:val="00873D66"/>
    <w:rsid w:val="0087448E"/>
    <w:rsid w:val="00875184"/>
    <w:rsid w:val="00875763"/>
    <w:rsid w:val="00875BAA"/>
    <w:rsid w:val="00880940"/>
    <w:rsid w:val="00882D48"/>
    <w:rsid w:val="008839CB"/>
    <w:rsid w:val="00886A40"/>
    <w:rsid w:val="0089072C"/>
    <w:rsid w:val="00893BC8"/>
    <w:rsid w:val="00894F65"/>
    <w:rsid w:val="008A1677"/>
    <w:rsid w:val="008A3A2E"/>
    <w:rsid w:val="008B3F9A"/>
    <w:rsid w:val="008C0EC4"/>
    <w:rsid w:val="008C35EF"/>
    <w:rsid w:val="008C3914"/>
    <w:rsid w:val="008D75BB"/>
    <w:rsid w:val="008E2FC2"/>
    <w:rsid w:val="008E672D"/>
    <w:rsid w:val="008F255F"/>
    <w:rsid w:val="008F606F"/>
    <w:rsid w:val="008F6B49"/>
    <w:rsid w:val="009020B0"/>
    <w:rsid w:val="00902EC9"/>
    <w:rsid w:val="00906F2A"/>
    <w:rsid w:val="00913721"/>
    <w:rsid w:val="00914E9F"/>
    <w:rsid w:val="0091538C"/>
    <w:rsid w:val="00933661"/>
    <w:rsid w:val="0093567D"/>
    <w:rsid w:val="00937AF7"/>
    <w:rsid w:val="00945832"/>
    <w:rsid w:val="0094779A"/>
    <w:rsid w:val="0095396F"/>
    <w:rsid w:val="00967439"/>
    <w:rsid w:val="00983802"/>
    <w:rsid w:val="00987E2F"/>
    <w:rsid w:val="00995957"/>
    <w:rsid w:val="00996D65"/>
    <w:rsid w:val="009A2FEA"/>
    <w:rsid w:val="009B2674"/>
    <w:rsid w:val="009B2AC9"/>
    <w:rsid w:val="009B5478"/>
    <w:rsid w:val="009C1802"/>
    <w:rsid w:val="009C29F2"/>
    <w:rsid w:val="009C32CF"/>
    <w:rsid w:val="009C6F48"/>
    <w:rsid w:val="009D3F8A"/>
    <w:rsid w:val="009D73CF"/>
    <w:rsid w:val="009E5176"/>
    <w:rsid w:val="009E7403"/>
    <w:rsid w:val="009F0387"/>
    <w:rsid w:val="009F10BA"/>
    <w:rsid w:val="00A05027"/>
    <w:rsid w:val="00A21008"/>
    <w:rsid w:val="00A22783"/>
    <w:rsid w:val="00A228A6"/>
    <w:rsid w:val="00A2572B"/>
    <w:rsid w:val="00A459C5"/>
    <w:rsid w:val="00A47779"/>
    <w:rsid w:val="00A51346"/>
    <w:rsid w:val="00A5670B"/>
    <w:rsid w:val="00A57047"/>
    <w:rsid w:val="00A62662"/>
    <w:rsid w:val="00A63965"/>
    <w:rsid w:val="00A640FA"/>
    <w:rsid w:val="00A64F05"/>
    <w:rsid w:val="00A6773C"/>
    <w:rsid w:val="00A70EE9"/>
    <w:rsid w:val="00A84690"/>
    <w:rsid w:val="00A9124B"/>
    <w:rsid w:val="00A91860"/>
    <w:rsid w:val="00A96B82"/>
    <w:rsid w:val="00AA0C27"/>
    <w:rsid w:val="00AA1AC3"/>
    <w:rsid w:val="00AA5E4E"/>
    <w:rsid w:val="00AA757F"/>
    <w:rsid w:val="00AB279E"/>
    <w:rsid w:val="00AC13E0"/>
    <w:rsid w:val="00AD0DF1"/>
    <w:rsid w:val="00AE3DE1"/>
    <w:rsid w:val="00AE47C9"/>
    <w:rsid w:val="00AE4D9B"/>
    <w:rsid w:val="00AF1F0E"/>
    <w:rsid w:val="00AF3FCF"/>
    <w:rsid w:val="00B02AB7"/>
    <w:rsid w:val="00B03003"/>
    <w:rsid w:val="00B06860"/>
    <w:rsid w:val="00B13025"/>
    <w:rsid w:val="00B13784"/>
    <w:rsid w:val="00B153FE"/>
    <w:rsid w:val="00B169E7"/>
    <w:rsid w:val="00B173AE"/>
    <w:rsid w:val="00B2225B"/>
    <w:rsid w:val="00B222F1"/>
    <w:rsid w:val="00B2477A"/>
    <w:rsid w:val="00B25E4A"/>
    <w:rsid w:val="00B36C14"/>
    <w:rsid w:val="00B45BB7"/>
    <w:rsid w:val="00B50345"/>
    <w:rsid w:val="00B625CC"/>
    <w:rsid w:val="00B6376D"/>
    <w:rsid w:val="00B637D9"/>
    <w:rsid w:val="00B66036"/>
    <w:rsid w:val="00B67E6D"/>
    <w:rsid w:val="00B72749"/>
    <w:rsid w:val="00B83275"/>
    <w:rsid w:val="00B90FFD"/>
    <w:rsid w:val="00B9266A"/>
    <w:rsid w:val="00B95618"/>
    <w:rsid w:val="00B96F62"/>
    <w:rsid w:val="00BA2875"/>
    <w:rsid w:val="00BA6686"/>
    <w:rsid w:val="00BA70E5"/>
    <w:rsid w:val="00BA7AAC"/>
    <w:rsid w:val="00BB4960"/>
    <w:rsid w:val="00BB5243"/>
    <w:rsid w:val="00BB759C"/>
    <w:rsid w:val="00BD1759"/>
    <w:rsid w:val="00BE3AF6"/>
    <w:rsid w:val="00BE4296"/>
    <w:rsid w:val="00BF2DCA"/>
    <w:rsid w:val="00C01650"/>
    <w:rsid w:val="00C02B10"/>
    <w:rsid w:val="00C04FEB"/>
    <w:rsid w:val="00C05046"/>
    <w:rsid w:val="00C071EB"/>
    <w:rsid w:val="00C1531E"/>
    <w:rsid w:val="00C15F8C"/>
    <w:rsid w:val="00C2047A"/>
    <w:rsid w:val="00C214EC"/>
    <w:rsid w:val="00C31562"/>
    <w:rsid w:val="00C321AC"/>
    <w:rsid w:val="00C32FE1"/>
    <w:rsid w:val="00C33060"/>
    <w:rsid w:val="00C542F5"/>
    <w:rsid w:val="00C55EE7"/>
    <w:rsid w:val="00C60E29"/>
    <w:rsid w:val="00C82DAF"/>
    <w:rsid w:val="00C905A4"/>
    <w:rsid w:val="00C926FC"/>
    <w:rsid w:val="00C93023"/>
    <w:rsid w:val="00CA23BF"/>
    <w:rsid w:val="00CA77D7"/>
    <w:rsid w:val="00CA7A75"/>
    <w:rsid w:val="00CB4D8E"/>
    <w:rsid w:val="00CB7A2E"/>
    <w:rsid w:val="00CC05B6"/>
    <w:rsid w:val="00CC0AD8"/>
    <w:rsid w:val="00CD48B2"/>
    <w:rsid w:val="00CD7ABD"/>
    <w:rsid w:val="00CD7B9E"/>
    <w:rsid w:val="00CD7C09"/>
    <w:rsid w:val="00CE1DB7"/>
    <w:rsid w:val="00CE2013"/>
    <w:rsid w:val="00CE2DC0"/>
    <w:rsid w:val="00CE3424"/>
    <w:rsid w:val="00CE5C68"/>
    <w:rsid w:val="00CE71B8"/>
    <w:rsid w:val="00CE76B2"/>
    <w:rsid w:val="00CF6AFF"/>
    <w:rsid w:val="00D0207D"/>
    <w:rsid w:val="00D02768"/>
    <w:rsid w:val="00D03BEC"/>
    <w:rsid w:val="00D03ED4"/>
    <w:rsid w:val="00D21CDD"/>
    <w:rsid w:val="00D27A14"/>
    <w:rsid w:val="00D32141"/>
    <w:rsid w:val="00D32B64"/>
    <w:rsid w:val="00D3488B"/>
    <w:rsid w:val="00D4064A"/>
    <w:rsid w:val="00D4110F"/>
    <w:rsid w:val="00D45AB0"/>
    <w:rsid w:val="00D56D7F"/>
    <w:rsid w:val="00D677B4"/>
    <w:rsid w:val="00D723AF"/>
    <w:rsid w:val="00D76DDF"/>
    <w:rsid w:val="00D817B9"/>
    <w:rsid w:val="00D81A51"/>
    <w:rsid w:val="00D8337C"/>
    <w:rsid w:val="00D90655"/>
    <w:rsid w:val="00DA13AB"/>
    <w:rsid w:val="00DA2DAB"/>
    <w:rsid w:val="00DA47F3"/>
    <w:rsid w:val="00DB4D35"/>
    <w:rsid w:val="00DC6B0E"/>
    <w:rsid w:val="00DD364C"/>
    <w:rsid w:val="00DE2736"/>
    <w:rsid w:val="00DE4CD2"/>
    <w:rsid w:val="00DE55AA"/>
    <w:rsid w:val="00DE642E"/>
    <w:rsid w:val="00DE6F87"/>
    <w:rsid w:val="00DE7247"/>
    <w:rsid w:val="00DF14B1"/>
    <w:rsid w:val="00DF658B"/>
    <w:rsid w:val="00E00A22"/>
    <w:rsid w:val="00E07B86"/>
    <w:rsid w:val="00E107A8"/>
    <w:rsid w:val="00E13883"/>
    <w:rsid w:val="00E24A0C"/>
    <w:rsid w:val="00E34327"/>
    <w:rsid w:val="00E424F0"/>
    <w:rsid w:val="00E54C4E"/>
    <w:rsid w:val="00E57698"/>
    <w:rsid w:val="00E604AE"/>
    <w:rsid w:val="00E6054E"/>
    <w:rsid w:val="00E60D3F"/>
    <w:rsid w:val="00E63DD0"/>
    <w:rsid w:val="00E66905"/>
    <w:rsid w:val="00E72EE4"/>
    <w:rsid w:val="00E734A5"/>
    <w:rsid w:val="00E80A0A"/>
    <w:rsid w:val="00E84305"/>
    <w:rsid w:val="00E92A12"/>
    <w:rsid w:val="00E95C46"/>
    <w:rsid w:val="00EA2FCA"/>
    <w:rsid w:val="00EA56C9"/>
    <w:rsid w:val="00EA5936"/>
    <w:rsid w:val="00EA78C1"/>
    <w:rsid w:val="00EB4013"/>
    <w:rsid w:val="00EC56A5"/>
    <w:rsid w:val="00ED5897"/>
    <w:rsid w:val="00ED6F40"/>
    <w:rsid w:val="00EE0479"/>
    <w:rsid w:val="00EE0BE8"/>
    <w:rsid w:val="00EE1009"/>
    <w:rsid w:val="00EF0BE5"/>
    <w:rsid w:val="00EF5CAC"/>
    <w:rsid w:val="00EF6D5D"/>
    <w:rsid w:val="00F003BB"/>
    <w:rsid w:val="00F024E6"/>
    <w:rsid w:val="00F0499D"/>
    <w:rsid w:val="00F1258B"/>
    <w:rsid w:val="00F1465A"/>
    <w:rsid w:val="00F15D62"/>
    <w:rsid w:val="00F2310C"/>
    <w:rsid w:val="00F314C0"/>
    <w:rsid w:val="00F316AE"/>
    <w:rsid w:val="00F35131"/>
    <w:rsid w:val="00F41C6B"/>
    <w:rsid w:val="00F41CCA"/>
    <w:rsid w:val="00F43E2A"/>
    <w:rsid w:val="00F46136"/>
    <w:rsid w:val="00F4728B"/>
    <w:rsid w:val="00F5066B"/>
    <w:rsid w:val="00F553F1"/>
    <w:rsid w:val="00F56239"/>
    <w:rsid w:val="00F743D2"/>
    <w:rsid w:val="00F75137"/>
    <w:rsid w:val="00F80ADE"/>
    <w:rsid w:val="00F827D4"/>
    <w:rsid w:val="00F92896"/>
    <w:rsid w:val="00F97F9F"/>
    <w:rsid w:val="00FB4674"/>
    <w:rsid w:val="00FB7724"/>
    <w:rsid w:val="00FC10D4"/>
    <w:rsid w:val="00FC1663"/>
    <w:rsid w:val="00FC3812"/>
    <w:rsid w:val="00FD01A0"/>
    <w:rsid w:val="00FD1E2D"/>
    <w:rsid w:val="00FD2830"/>
    <w:rsid w:val="00FD4E80"/>
    <w:rsid w:val="00FE3592"/>
    <w:rsid w:val="00FE719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89E05E"/>
  <w15:docId w15:val="{4DDEAC9D-BD1C-4147-8F59-72DD2E804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5DC2"/>
    <w:rPr>
      <w:sz w:val="24"/>
      <w:szCs w:val="24"/>
      <w:lang w:val="en-AU" w:eastAsia="zh-CN"/>
    </w:rPr>
  </w:style>
  <w:style w:type="paragraph" w:styleId="Heading1">
    <w:name w:val="heading 1"/>
    <w:basedOn w:val="Normal"/>
    <w:next w:val="Normal"/>
    <w:link w:val="Heading1Char"/>
    <w:uiPriority w:val="9"/>
    <w:qFormat/>
    <w:rsid w:val="00615DC2"/>
    <w:pPr>
      <w:keepNext/>
      <w:spacing w:before="240" w:after="60"/>
      <w:outlineLvl w:val="0"/>
    </w:pPr>
    <w:rPr>
      <w:rFonts w:ascii="Arial" w:hAnsi="Arial" w:cs="Arial"/>
      <w:b/>
      <w:bCs/>
      <w:kern w:val="32"/>
      <w:sz w:val="32"/>
      <w:szCs w:val="32"/>
    </w:rPr>
  </w:style>
  <w:style w:type="paragraph" w:styleId="Heading2">
    <w:name w:val="heading 2"/>
    <w:basedOn w:val="Normal"/>
    <w:next w:val="Normal"/>
    <w:uiPriority w:val="9"/>
    <w:semiHidden/>
    <w:unhideWhenUsed/>
    <w:qFormat/>
    <w:rsid w:val="00615DC2"/>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semiHidden/>
    <w:unhideWhenUsed/>
    <w:qFormat/>
    <w:rsid w:val="00615DC2"/>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semiHidden/>
    <w:unhideWhenUsed/>
    <w:qFormat/>
    <w:rsid w:val="00615DC2"/>
    <w:pPr>
      <w:keepNext/>
      <w:autoSpaceDE w:val="0"/>
      <w:autoSpaceDN w:val="0"/>
      <w:spacing w:before="240" w:after="60"/>
      <w:ind w:left="1152" w:hanging="720"/>
      <w:outlineLvl w:val="3"/>
    </w:pPr>
    <w:rPr>
      <w:rFonts w:eastAsia="Times New Roman"/>
      <w:i/>
      <w:iCs/>
      <w:sz w:val="18"/>
      <w:szCs w:val="18"/>
      <w:lang w:val="en-US" w:eastAsia="en-US"/>
    </w:rPr>
  </w:style>
  <w:style w:type="paragraph" w:styleId="Heading5">
    <w:name w:val="heading 5"/>
    <w:basedOn w:val="Normal"/>
    <w:next w:val="Normal"/>
    <w:link w:val="Heading5Char"/>
    <w:uiPriority w:val="9"/>
    <w:semiHidden/>
    <w:unhideWhenUsed/>
    <w:qFormat/>
    <w:rsid w:val="00615DC2"/>
    <w:pPr>
      <w:autoSpaceDE w:val="0"/>
      <w:autoSpaceDN w:val="0"/>
      <w:spacing w:before="240" w:after="60"/>
      <w:ind w:left="1872" w:hanging="720"/>
      <w:outlineLvl w:val="4"/>
    </w:pPr>
    <w:rPr>
      <w:rFonts w:eastAsia="Times New Roman"/>
      <w:sz w:val="18"/>
      <w:szCs w:val="18"/>
      <w:lang w:val="en-US" w:eastAsia="en-US"/>
    </w:rPr>
  </w:style>
  <w:style w:type="paragraph" w:styleId="Heading6">
    <w:name w:val="heading 6"/>
    <w:basedOn w:val="Normal"/>
    <w:next w:val="Normal"/>
    <w:link w:val="Heading6Char"/>
    <w:uiPriority w:val="9"/>
    <w:semiHidden/>
    <w:unhideWhenUsed/>
    <w:qFormat/>
    <w:rsid w:val="00615DC2"/>
    <w:pPr>
      <w:autoSpaceDE w:val="0"/>
      <w:autoSpaceDN w:val="0"/>
      <w:spacing w:before="240" w:after="60"/>
      <w:ind w:left="2592" w:hanging="720"/>
      <w:outlineLvl w:val="5"/>
    </w:pPr>
    <w:rPr>
      <w:rFonts w:eastAsia="Times New Roman"/>
      <w:i/>
      <w:iCs/>
      <w:sz w:val="16"/>
      <w:szCs w:val="16"/>
      <w:lang w:val="en-US" w:eastAsia="en-US"/>
    </w:rPr>
  </w:style>
  <w:style w:type="paragraph" w:styleId="Heading7">
    <w:name w:val="heading 7"/>
    <w:basedOn w:val="Normal"/>
    <w:next w:val="Normal"/>
    <w:link w:val="Heading7Char"/>
    <w:uiPriority w:val="99"/>
    <w:qFormat/>
    <w:rsid w:val="00615DC2"/>
    <w:pPr>
      <w:autoSpaceDE w:val="0"/>
      <w:autoSpaceDN w:val="0"/>
      <w:spacing w:before="240" w:after="60"/>
      <w:ind w:left="3312" w:hanging="720"/>
      <w:outlineLvl w:val="6"/>
    </w:pPr>
    <w:rPr>
      <w:rFonts w:eastAsia="Times New Roman"/>
      <w:sz w:val="16"/>
      <w:szCs w:val="16"/>
      <w:lang w:val="en-US" w:eastAsia="en-US"/>
    </w:rPr>
  </w:style>
  <w:style w:type="paragraph" w:styleId="Heading8">
    <w:name w:val="heading 8"/>
    <w:basedOn w:val="Normal"/>
    <w:next w:val="Normal"/>
    <w:link w:val="Heading8Char"/>
    <w:uiPriority w:val="99"/>
    <w:qFormat/>
    <w:rsid w:val="00615DC2"/>
    <w:pPr>
      <w:autoSpaceDE w:val="0"/>
      <w:autoSpaceDN w:val="0"/>
      <w:spacing w:before="240" w:after="60"/>
      <w:ind w:left="4032" w:hanging="720"/>
      <w:outlineLvl w:val="7"/>
    </w:pPr>
    <w:rPr>
      <w:rFonts w:eastAsia="Times New Roman"/>
      <w:i/>
      <w:iCs/>
      <w:sz w:val="16"/>
      <w:szCs w:val="16"/>
      <w:lang w:val="en-US" w:eastAsia="en-US"/>
    </w:rPr>
  </w:style>
  <w:style w:type="paragraph" w:styleId="Heading9">
    <w:name w:val="heading 9"/>
    <w:basedOn w:val="Normal"/>
    <w:next w:val="Normal"/>
    <w:link w:val="Heading9Char"/>
    <w:uiPriority w:val="99"/>
    <w:qFormat/>
    <w:rsid w:val="00615DC2"/>
    <w:pPr>
      <w:autoSpaceDE w:val="0"/>
      <w:autoSpaceDN w:val="0"/>
      <w:spacing w:before="240" w:after="60"/>
      <w:ind w:left="4752" w:hanging="720"/>
      <w:outlineLvl w:val="8"/>
    </w:pPr>
    <w:rPr>
      <w:rFonts w:eastAsia="Times New Roman"/>
      <w:sz w:val="16"/>
      <w:szCs w:val="1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615DC2"/>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615DC2"/>
    <w:pPr>
      <w:spacing w:after="60"/>
      <w:jc w:val="center"/>
    </w:pPr>
    <w:rPr>
      <w:rFonts w:eastAsia="Times New Roman"/>
      <w:i/>
      <w:sz w:val="20"/>
      <w:lang w:val="en-GB" w:eastAsia="en-GB"/>
    </w:rPr>
  </w:style>
  <w:style w:type="paragraph" w:customStyle="1" w:styleId="IEEEHeading2">
    <w:name w:val="IEEE Heading 2"/>
    <w:basedOn w:val="Normal"/>
    <w:next w:val="IEEEParagraph"/>
    <w:rsid w:val="00615DC2"/>
    <w:pPr>
      <w:numPr>
        <w:numId w:val="2"/>
      </w:numPr>
      <w:adjustRightInd w:val="0"/>
      <w:snapToGrid w:val="0"/>
      <w:spacing w:before="150" w:after="60"/>
    </w:pPr>
    <w:rPr>
      <w:i/>
      <w:sz w:val="20"/>
    </w:rPr>
  </w:style>
  <w:style w:type="paragraph" w:customStyle="1" w:styleId="IEEEAuthorEmail">
    <w:name w:val="IEEE Author Email"/>
    <w:next w:val="IEEEAuthorAffiliation"/>
    <w:rsid w:val="00615DC2"/>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615DC2"/>
    <w:rPr>
      <w:i/>
    </w:rPr>
  </w:style>
  <w:style w:type="character" w:customStyle="1" w:styleId="IEEEAbstractHeadingChar">
    <w:name w:val="IEEE Abstract Heading Char"/>
    <w:link w:val="IEEEAbstractHeading"/>
    <w:rsid w:val="00615DC2"/>
    <w:rPr>
      <w:rFonts w:eastAsia="SimSun"/>
      <w:b/>
      <w:i/>
      <w:sz w:val="18"/>
      <w:szCs w:val="24"/>
      <w:lang w:val="en-GB" w:eastAsia="en-GB" w:bidi="ar-SA"/>
    </w:rPr>
  </w:style>
  <w:style w:type="paragraph" w:customStyle="1" w:styleId="IEEEAbtract">
    <w:name w:val="IEEE Abtract"/>
    <w:basedOn w:val="Normal"/>
    <w:next w:val="Normal"/>
    <w:link w:val="IEEEAbtractChar"/>
    <w:rsid w:val="00615DC2"/>
    <w:pPr>
      <w:adjustRightInd w:val="0"/>
      <w:snapToGrid w:val="0"/>
      <w:ind w:firstLine="216"/>
      <w:jc w:val="both"/>
    </w:pPr>
    <w:rPr>
      <w:b/>
      <w:sz w:val="18"/>
      <w:lang w:val="en-GB" w:eastAsia="en-GB"/>
    </w:rPr>
  </w:style>
  <w:style w:type="character" w:customStyle="1" w:styleId="IEEEAbtractChar">
    <w:name w:val="IEEE Abtract Char"/>
    <w:link w:val="IEEEAbtract"/>
    <w:rsid w:val="00615DC2"/>
    <w:rPr>
      <w:rFonts w:eastAsia="SimSun"/>
      <w:b/>
      <w:sz w:val="18"/>
      <w:szCs w:val="24"/>
      <w:lang w:val="en-GB" w:eastAsia="en-GB" w:bidi="ar-SA"/>
    </w:rPr>
  </w:style>
  <w:style w:type="paragraph" w:customStyle="1" w:styleId="IEEEParagraph">
    <w:name w:val="IEEE Paragraph"/>
    <w:basedOn w:val="Normal"/>
    <w:link w:val="IEEEParagraphChar"/>
    <w:qFormat/>
    <w:rsid w:val="00615DC2"/>
    <w:pPr>
      <w:adjustRightInd w:val="0"/>
      <w:snapToGrid w:val="0"/>
      <w:ind w:firstLine="216"/>
      <w:jc w:val="both"/>
    </w:pPr>
    <w:rPr>
      <w:sz w:val="20"/>
    </w:rPr>
  </w:style>
  <w:style w:type="paragraph" w:customStyle="1" w:styleId="IEEEHeading1">
    <w:name w:val="IEEE Heading 1"/>
    <w:basedOn w:val="Normal"/>
    <w:next w:val="IEEEParagraph"/>
    <w:rsid w:val="00615DC2"/>
    <w:pPr>
      <w:numPr>
        <w:numId w:val="3"/>
      </w:numPr>
      <w:adjustRightInd w:val="0"/>
      <w:snapToGrid w:val="0"/>
      <w:spacing w:before="180" w:after="60"/>
      <w:jc w:val="center"/>
    </w:pPr>
    <w:rPr>
      <w:smallCaps/>
      <w:sz w:val="20"/>
    </w:rPr>
  </w:style>
  <w:style w:type="table" w:styleId="TableGrid">
    <w:name w:val="Table Grid"/>
    <w:basedOn w:val="TableNormal"/>
    <w:uiPriority w:val="39"/>
    <w:qFormat/>
    <w:rsid w:val="00615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615DC2"/>
    <w:pPr>
      <w:ind w:firstLine="0"/>
      <w:jc w:val="left"/>
    </w:pPr>
    <w:rPr>
      <w:sz w:val="18"/>
    </w:rPr>
  </w:style>
  <w:style w:type="paragraph" w:customStyle="1" w:styleId="IEEETitle">
    <w:name w:val="IEEE Title"/>
    <w:basedOn w:val="Normal"/>
    <w:next w:val="IEEEAuthorName"/>
    <w:rsid w:val="00615DC2"/>
    <w:pPr>
      <w:adjustRightInd w:val="0"/>
      <w:snapToGrid w:val="0"/>
      <w:jc w:val="center"/>
    </w:pPr>
    <w:rPr>
      <w:sz w:val="48"/>
    </w:rPr>
  </w:style>
  <w:style w:type="paragraph" w:customStyle="1" w:styleId="IEEEHeading3">
    <w:name w:val="IEEE Heading 3"/>
    <w:basedOn w:val="Normal"/>
    <w:next w:val="IEEEParagraph"/>
    <w:link w:val="IEEEHeading3Char"/>
    <w:rsid w:val="00615DC2"/>
    <w:pPr>
      <w:numPr>
        <w:numId w:val="4"/>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615DC2"/>
    <w:pPr>
      <w:spacing w:before="120" w:after="120"/>
      <w:jc w:val="center"/>
    </w:pPr>
    <w:rPr>
      <w:smallCaps/>
      <w:sz w:val="16"/>
    </w:rPr>
  </w:style>
  <w:style w:type="paragraph" w:styleId="Caption">
    <w:name w:val="caption"/>
    <w:basedOn w:val="Normal"/>
    <w:next w:val="Normal"/>
    <w:qFormat/>
    <w:rsid w:val="00615DC2"/>
    <w:pPr>
      <w:spacing w:before="120" w:after="120"/>
    </w:pPr>
    <w:rPr>
      <w:b/>
      <w:bCs/>
      <w:sz w:val="20"/>
      <w:szCs w:val="20"/>
    </w:rPr>
  </w:style>
  <w:style w:type="character" w:customStyle="1" w:styleId="IEEEParagraphChar">
    <w:name w:val="IEEE Paragraph Char"/>
    <w:link w:val="IEEEParagraph"/>
    <w:qFormat/>
    <w:rsid w:val="00615DC2"/>
    <w:rPr>
      <w:rFonts w:eastAsia="SimSun"/>
      <w:sz w:val="24"/>
      <w:szCs w:val="24"/>
      <w:lang w:val="en-AU" w:eastAsia="zh-CN" w:bidi="ar-SA"/>
    </w:rPr>
  </w:style>
  <w:style w:type="numbering" w:customStyle="1" w:styleId="IEEEBullet1">
    <w:name w:val="IEEE Bullet 1"/>
    <w:basedOn w:val="NoList"/>
    <w:rsid w:val="00615DC2"/>
    <w:pPr>
      <w:numPr>
        <w:numId w:val="5"/>
      </w:numPr>
    </w:pPr>
  </w:style>
  <w:style w:type="paragraph" w:customStyle="1" w:styleId="IEEEFigureCaptionSingle-Line">
    <w:name w:val="IEEE Figure Caption Single-Line"/>
    <w:basedOn w:val="IEEETableCaption"/>
    <w:next w:val="IEEEParagraph"/>
    <w:rsid w:val="00615DC2"/>
    <w:rPr>
      <w:smallCaps w:val="0"/>
    </w:rPr>
  </w:style>
  <w:style w:type="character" w:customStyle="1" w:styleId="IEEEHeading3Char">
    <w:name w:val="IEEE Heading 3 Char"/>
    <w:link w:val="IEEEHeading3"/>
    <w:rsid w:val="00615DC2"/>
    <w:rPr>
      <w:i/>
      <w:szCs w:val="24"/>
      <w:lang w:val="en-AU" w:eastAsia="zh-CN"/>
    </w:rPr>
  </w:style>
  <w:style w:type="paragraph" w:customStyle="1" w:styleId="IEEEFigure">
    <w:name w:val="IEEE Figure"/>
    <w:basedOn w:val="Normal"/>
    <w:next w:val="IEEEFigureCaptionSingle-Line"/>
    <w:rsid w:val="00615DC2"/>
    <w:pPr>
      <w:jc w:val="center"/>
    </w:pPr>
  </w:style>
  <w:style w:type="paragraph" w:customStyle="1" w:styleId="IEEEReferenceItem">
    <w:name w:val="IEEE Reference Item"/>
    <w:basedOn w:val="Normal"/>
    <w:rsid w:val="00615DC2"/>
    <w:pPr>
      <w:numPr>
        <w:numId w:val="1"/>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615DC2"/>
    <w:pPr>
      <w:jc w:val="both"/>
    </w:pPr>
  </w:style>
  <w:style w:type="paragraph" w:customStyle="1" w:styleId="IEEETableHeaderCentered">
    <w:name w:val="IEEE Table Header Centered"/>
    <w:basedOn w:val="IEEETableCell"/>
    <w:rsid w:val="00615DC2"/>
    <w:pPr>
      <w:jc w:val="center"/>
    </w:pPr>
    <w:rPr>
      <w:b/>
      <w:bCs/>
    </w:rPr>
  </w:style>
  <w:style w:type="paragraph" w:customStyle="1" w:styleId="IEEETableHeaderLeft-Justified">
    <w:name w:val="IEEE Table Header Left-Justified"/>
    <w:basedOn w:val="IEEETableCell"/>
    <w:rsid w:val="00615DC2"/>
    <w:rPr>
      <w:b/>
      <w:bCs/>
    </w:rPr>
  </w:style>
  <w:style w:type="character" w:styleId="FollowedHyperlink">
    <w:name w:val="FollowedHyperlink"/>
    <w:rsid w:val="00615DC2"/>
    <w:rPr>
      <w:color w:val="800080"/>
      <w:u w:val="single"/>
    </w:rPr>
  </w:style>
  <w:style w:type="character" w:styleId="Hyperlink">
    <w:name w:val="Hyperlink"/>
    <w:uiPriority w:val="99"/>
    <w:rsid w:val="00615DC2"/>
    <w:rPr>
      <w:color w:val="0000FF"/>
      <w:u w:val="single"/>
    </w:rPr>
  </w:style>
  <w:style w:type="paragraph" w:customStyle="1" w:styleId="Affiliation">
    <w:name w:val="Affiliation"/>
    <w:rsid w:val="00615DC2"/>
    <w:pPr>
      <w:jc w:val="center"/>
    </w:pPr>
  </w:style>
  <w:style w:type="paragraph" w:customStyle="1" w:styleId="Author">
    <w:name w:val="Author"/>
    <w:uiPriority w:val="99"/>
    <w:rsid w:val="00615DC2"/>
    <w:pPr>
      <w:spacing w:before="360" w:after="40"/>
      <w:jc w:val="center"/>
    </w:pPr>
    <w:rPr>
      <w:noProof/>
      <w:sz w:val="22"/>
      <w:szCs w:val="22"/>
    </w:rPr>
  </w:style>
  <w:style w:type="paragraph" w:customStyle="1" w:styleId="footnote">
    <w:name w:val="footnote"/>
    <w:rsid w:val="00615DC2"/>
    <w:pPr>
      <w:framePr w:hSpace="187" w:vSpace="187" w:wrap="notBeside" w:vAnchor="text" w:hAnchor="page" w:x="6121" w:y="577"/>
      <w:numPr>
        <w:numId w:val="6"/>
      </w:numPr>
      <w:spacing w:after="40"/>
    </w:pPr>
    <w:rPr>
      <w:sz w:val="16"/>
      <w:szCs w:val="16"/>
    </w:rPr>
  </w:style>
  <w:style w:type="paragraph" w:customStyle="1" w:styleId="References">
    <w:name w:val="References"/>
    <w:basedOn w:val="Normal"/>
    <w:rsid w:val="00615DC2"/>
    <w:pPr>
      <w:numPr>
        <w:numId w:val="7"/>
      </w:numPr>
      <w:jc w:val="both"/>
    </w:pPr>
    <w:rPr>
      <w:rFonts w:eastAsia="Times New Roman"/>
      <w:sz w:val="16"/>
      <w:szCs w:val="16"/>
      <w:lang w:val="en-US" w:eastAsia="en-US"/>
    </w:rPr>
  </w:style>
  <w:style w:type="character" w:customStyle="1" w:styleId="apple-converted-space">
    <w:name w:val="apple-converted-space"/>
    <w:rsid w:val="00615DC2"/>
  </w:style>
  <w:style w:type="character" w:styleId="Emphasis">
    <w:name w:val="Emphasis"/>
    <w:uiPriority w:val="20"/>
    <w:qFormat/>
    <w:rsid w:val="00615DC2"/>
    <w:rPr>
      <w:i/>
      <w:iCs/>
    </w:rPr>
  </w:style>
  <w:style w:type="paragraph" w:customStyle="1" w:styleId="Text">
    <w:name w:val="Text"/>
    <w:basedOn w:val="Normal"/>
    <w:rsid w:val="00615DC2"/>
    <w:pPr>
      <w:widowControl w:val="0"/>
      <w:autoSpaceDE w:val="0"/>
      <w:autoSpaceDN w:val="0"/>
      <w:spacing w:line="251" w:lineRule="auto"/>
      <w:ind w:firstLine="202"/>
      <w:jc w:val="both"/>
    </w:pPr>
    <w:rPr>
      <w:rFonts w:eastAsia="Times New Roman"/>
      <w:sz w:val="20"/>
      <w:szCs w:val="20"/>
      <w:lang w:val="en-US" w:eastAsia="en-US"/>
    </w:rPr>
  </w:style>
  <w:style w:type="paragraph" w:styleId="Header">
    <w:name w:val="header"/>
    <w:basedOn w:val="Normal"/>
    <w:link w:val="HeaderChar"/>
    <w:uiPriority w:val="99"/>
    <w:rsid w:val="00615DC2"/>
    <w:pPr>
      <w:tabs>
        <w:tab w:val="center" w:pos="4680"/>
        <w:tab w:val="right" w:pos="9360"/>
      </w:tabs>
    </w:pPr>
  </w:style>
  <w:style w:type="character" w:customStyle="1" w:styleId="HeaderChar">
    <w:name w:val="Header Char"/>
    <w:link w:val="Header"/>
    <w:uiPriority w:val="99"/>
    <w:rsid w:val="00615DC2"/>
    <w:rPr>
      <w:sz w:val="24"/>
      <w:szCs w:val="24"/>
      <w:lang w:val="en-AU" w:eastAsia="zh-CN" w:bidi="ar-SA"/>
    </w:rPr>
  </w:style>
  <w:style w:type="paragraph" w:styleId="Footer">
    <w:name w:val="footer"/>
    <w:basedOn w:val="Normal"/>
    <w:link w:val="FooterChar"/>
    <w:uiPriority w:val="99"/>
    <w:rsid w:val="00615DC2"/>
    <w:pPr>
      <w:tabs>
        <w:tab w:val="center" w:pos="4680"/>
        <w:tab w:val="right" w:pos="9360"/>
      </w:tabs>
    </w:pPr>
  </w:style>
  <w:style w:type="character" w:customStyle="1" w:styleId="FooterChar">
    <w:name w:val="Footer Char"/>
    <w:link w:val="Footer"/>
    <w:uiPriority w:val="99"/>
    <w:rsid w:val="00615DC2"/>
    <w:rPr>
      <w:sz w:val="24"/>
      <w:szCs w:val="24"/>
      <w:lang w:val="en-AU" w:eastAsia="zh-CN" w:bidi="ar-SA"/>
    </w:rPr>
  </w:style>
  <w:style w:type="paragraph" w:styleId="BalloonText">
    <w:name w:val="Balloon Text"/>
    <w:basedOn w:val="Normal"/>
    <w:link w:val="BalloonTextChar"/>
    <w:uiPriority w:val="99"/>
    <w:rsid w:val="00615DC2"/>
    <w:rPr>
      <w:rFonts w:ascii="Tahoma" w:hAnsi="Tahoma" w:cs="Tahoma"/>
      <w:sz w:val="16"/>
      <w:szCs w:val="16"/>
    </w:rPr>
  </w:style>
  <w:style w:type="character" w:customStyle="1" w:styleId="BalloonTextChar">
    <w:name w:val="Balloon Text Char"/>
    <w:link w:val="BalloonText"/>
    <w:uiPriority w:val="99"/>
    <w:rsid w:val="00615DC2"/>
    <w:rPr>
      <w:rFonts w:ascii="Tahoma" w:hAnsi="Tahoma" w:cs="Tahoma"/>
      <w:sz w:val="16"/>
      <w:szCs w:val="16"/>
      <w:lang w:val="en-AU" w:eastAsia="zh-CN" w:bidi="ar-SA"/>
    </w:rPr>
  </w:style>
  <w:style w:type="paragraph" w:styleId="ListParagraph">
    <w:name w:val="List Paragraph"/>
    <w:aliases w:val="Bullet List,FooterText,List Paragraph1,numbered,List Paragraph Char Char,List Paragraph11,Equipment,Colorful List - Accent 11,List 1 Paragraph,d_bodyb,List Paragraph111,lp1,Use Case List Paragraph,Paragraphe de liste1,列出段落,列出段落1,Annexure"/>
    <w:basedOn w:val="Normal"/>
    <w:link w:val="ListParagraphChar"/>
    <w:uiPriority w:val="34"/>
    <w:qFormat/>
    <w:rsid w:val="00615DC2"/>
    <w:pPr>
      <w:spacing w:after="200" w:line="276" w:lineRule="auto"/>
      <w:ind w:left="720"/>
      <w:contextualSpacing/>
    </w:pPr>
    <w:rPr>
      <w:rFonts w:ascii="Calibri" w:eastAsia="Times New Roman" w:hAnsi="Calibri"/>
      <w:sz w:val="22"/>
      <w:szCs w:val="22"/>
      <w:lang w:val="en-US" w:eastAsia="en-US"/>
    </w:rPr>
  </w:style>
  <w:style w:type="paragraph" w:styleId="NormalWeb">
    <w:name w:val="Normal (Web)"/>
    <w:basedOn w:val="Normal"/>
    <w:link w:val="NormalWebChar"/>
    <w:uiPriority w:val="99"/>
    <w:qFormat/>
    <w:rsid w:val="00615DC2"/>
    <w:pPr>
      <w:spacing w:before="100" w:beforeAutospacing="1" w:after="100" w:afterAutospacing="1"/>
    </w:pPr>
    <w:rPr>
      <w:rFonts w:eastAsia="Times New Roman"/>
      <w:lang w:val="en-US" w:eastAsia="en-US"/>
    </w:rPr>
  </w:style>
  <w:style w:type="paragraph" w:customStyle="1" w:styleId="PreformattedText">
    <w:name w:val="Preformatted Text"/>
    <w:basedOn w:val="Normal"/>
    <w:rsid w:val="00615DC2"/>
    <w:pPr>
      <w:widowControl w:val="0"/>
      <w:suppressAutoHyphens/>
    </w:pPr>
    <w:rPr>
      <w:rFonts w:ascii="Nimbus Mono L" w:eastAsia="Nimbus Mono L" w:hAnsi="Nimbus Mono L" w:cs="Nimbus Mono L"/>
      <w:sz w:val="20"/>
      <w:szCs w:val="20"/>
      <w:lang w:val="en-US" w:eastAsia="ar-SA"/>
    </w:rPr>
  </w:style>
  <w:style w:type="character" w:customStyle="1" w:styleId="Heading4Char">
    <w:name w:val="Heading 4 Char"/>
    <w:link w:val="Heading4"/>
    <w:rsid w:val="00615DC2"/>
    <w:rPr>
      <w:rFonts w:eastAsia="Times New Roman"/>
      <w:i/>
      <w:iCs/>
      <w:sz w:val="18"/>
      <w:szCs w:val="18"/>
      <w:lang w:bidi="ar-SA"/>
    </w:rPr>
  </w:style>
  <w:style w:type="character" w:customStyle="1" w:styleId="Heading5Char">
    <w:name w:val="Heading 5 Char"/>
    <w:link w:val="Heading5"/>
    <w:rsid w:val="00615DC2"/>
    <w:rPr>
      <w:rFonts w:eastAsia="Times New Roman"/>
      <w:sz w:val="18"/>
      <w:szCs w:val="18"/>
      <w:lang w:bidi="ar-SA"/>
    </w:rPr>
  </w:style>
  <w:style w:type="character" w:customStyle="1" w:styleId="Heading6Char">
    <w:name w:val="Heading 6 Char"/>
    <w:link w:val="Heading6"/>
    <w:rsid w:val="00615DC2"/>
    <w:rPr>
      <w:rFonts w:eastAsia="Times New Roman"/>
      <w:i/>
      <w:iCs/>
      <w:sz w:val="16"/>
      <w:szCs w:val="16"/>
      <w:lang w:bidi="ar-SA"/>
    </w:rPr>
  </w:style>
  <w:style w:type="character" w:customStyle="1" w:styleId="Heading7Char">
    <w:name w:val="Heading 7 Char"/>
    <w:link w:val="Heading7"/>
    <w:uiPriority w:val="99"/>
    <w:rsid w:val="00615DC2"/>
    <w:rPr>
      <w:rFonts w:eastAsia="Times New Roman"/>
      <w:sz w:val="16"/>
      <w:szCs w:val="16"/>
      <w:lang w:bidi="ar-SA"/>
    </w:rPr>
  </w:style>
  <w:style w:type="character" w:customStyle="1" w:styleId="Heading8Char">
    <w:name w:val="Heading 8 Char"/>
    <w:link w:val="Heading8"/>
    <w:uiPriority w:val="99"/>
    <w:rsid w:val="00615DC2"/>
    <w:rPr>
      <w:rFonts w:eastAsia="Times New Roman"/>
      <w:i/>
      <w:iCs/>
      <w:sz w:val="16"/>
      <w:szCs w:val="16"/>
      <w:lang w:bidi="ar-SA"/>
    </w:rPr>
  </w:style>
  <w:style w:type="character" w:customStyle="1" w:styleId="Heading9Char">
    <w:name w:val="Heading 9 Char"/>
    <w:link w:val="Heading9"/>
    <w:uiPriority w:val="99"/>
    <w:rsid w:val="00615DC2"/>
    <w:rPr>
      <w:rFonts w:eastAsia="Times New Roman"/>
      <w:sz w:val="16"/>
      <w:szCs w:val="16"/>
      <w:lang w:bidi="ar-SA"/>
    </w:rPr>
  </w:style>
  <w:style w:type="paragraph" w:styleId="BodyText2">
    <w:name w:val="Body Text 2"/>
    <w:basedOn w:val="Normal"/>
    <w:link w:val="BodyText2Char"/>
    <w:uiPriority w:val="99"/>
    <w:rsid w:val="00615DC2"/>
    <w:pPr>
      <w:autoSpaceDE w:val="0"/>
      <w:autoSpaceDN w:val="0"/>
      <w:spacing w:after="120" w:line="480" w:lineRule="auto"/>
    </w:pPr>
    <w:rPr>
      <w:rFonts w:eastAsia="Times New Roman"/>
      <w:sz w:val="20"/>
      <w:szCs w:val="20"/>
      <w:lang w:val="en-US" w:eastAsia="en-US"/>
    </w:rPr>
  </w:style>
  <w:style w:type="character" w:customStyle="1" w:styleId="BodyText2Char">
    <w:name w:val="Body Text 2 Char"/>
    <w:link w:val="BodyText2"/>
    <w:uiPriority w:val="99"/>
    <w:rsid w:val="00615DC2"/>
    <w:rPr>
      <w:rFonts w:eastAsia="Times New Roman"/>
      <w:lang w:bidi="ar-SA"/>
    </w:rPr>
  </w:style>
  <w:style w:type="character" w:customStyle="1" w:styleId="apple-style-span">
    <w:name w:val="apple-style-span"/>
    <w:rsid w:val="00615DC2"/>
  </w:style>
  <w:style w:type="paragraph" w:styleId="Bibliography">
    <w:name w:val="Bibliography"/>
    <w:basedOn w:val="Normal"/>
    <w:next w:val="Normal"/>
    <w:uiPriority w:val="37"/>
    <w:rsid w:val="00615DC2"/>
    <w:pPr>
      <w:autoSpaceDE w:val="0"/>
      <w:autoSpaceDN w:val="0"/>
    </w:pPr>
    <w:rPr>
      <w:rFonts w:eastAsia="Times New Roman"/>
      <w:sz w:val="20"/>
      <w:szCs w:val="20"/>
      <w:lang w:val="en-US" w:eastAsia="en-US"/>
    </w:rPr>
  </w:style>
  <w:style w:type="paragraph" w:styleId="Revision">
    <w:name w:val="Revision"/>
    <w:uiPriority w:val="99"/>
    <w:rsid w:val="00615DC2"/>
    <w:rPr>
      <w:rFonts w:eastAsia="Times New Roman"/>
    </w:rPr>
  </w:style>
  <w:style w:type="paragraph" w:styleId="BodyText3">
    <w:name w:val="Body Text 3"/>
    <w:basedOn w:val="Normal"/>
    <w:link w:val="BodyText3Char"/>
    <w:rsid w:val="00615DC2"/>
    <w:pPr>
      <w:spacing w:after="120"/>
    </w:pPr>
    <w:rPr>
      <w:sz w:val="16"/>
      <w:szCs w:val="16"/>
    </w:rPr>
  </w:style>
  <w:style w:type="character" w:customStyle="1" w:styleId="BodyText3Char">
    <w:name w:val="Body Text 3 Char"/>
    <w:link w:val="BodyText3"/>
    <w:rsid w:val="00615DC2"/>
    <w:rPr>
      <w:sz w:val="16"/>
      <w:szCs w:val="16"/>
      <w:lang w:val="en-AU" w:eastAsia="zh-CN" w:bidi="ar-SA"/>
    </w:rPr>
  </w:style>
  <w:style w:type="character" w:styleId="BookTitle">
    <w:name w:val="Book Title"/>
    <w:uiPriority w:val="33"/>
    <w:qFormat/>
    <w:rsid w:val="00615DC2"/>
    <w:rPr>
      <w:b/>
      <w:bCs/>
      <w:smallCaps/>
      <w:spacing w:val="5"/>
    </w:rPr>
  </w:style>
  <w:style w:type="paragraph" w:customStyle="1" w:styleId="Abstract">
    <w:name w:val="Abstract"/>
    <w:basedOn w:val="Normal"/>
    <w:next w:val="Normal"/>
    <w:rsid w:val="00615DC2"/>
    <w:pPr>
      <w:autoSpaceDE w:val="0"/>
      <w:autoSpaceDN w:val="0"/>
      <w:spacing w:before="20"/>
      <w:ind w:firstLine="202"/>
      <w:jc w:val="both"/>
    </w:pPr>
    <w:rPr>
      <w:rFonts w:eastAsia="Times New Roman"/>
      <w:b/>
      <w:bCs/>
      <w:sz w:val="18"/>
      <w:szCs w:val="18"/>
      <w:lang w:val="en-US" w:eastAsia="en-US"/>
    </w:rPr>
  </w:style>
  <w:style w:type="paragraph" w:styleId="BodyText">
    <w:name w:val="Body Text"/>
    <w:basedOn w:val="Normal"/>
    <w:link w:val="BodyTextChar"/>
    <w:uiPriority w:val="1"/>
    <w:qFormat/>
    <w:rsid w:val="00615DC2"/>
    <w:pPr>
      <w:spacing w:after="120" w:line="276" w:lineRule="auto"/>
    </w:pPr>
    <w:rPr>
      <w:rFonts w:ascii="Calibri" w:eastAsia="Times New Roman" w:hAnsi="Calibri" w:cs="Shruti"/>
      <w:sz w:val="22"/>
      <w:szCs w:val="22"/>
      <w:lang w:val="en-US" w:eastAsia="en-US"/>
    </w:rPr>
  </w:style>
  <w:style w:type="character" w:customStyle="1" w:styleId="BodyTextChar">
    <w:name w:val="Body Text Char"/>
    <w:link w:val="BodyText"/>
    <w:uiPriority w:val="99"/>
    <w:qFormat/>
    <w:rsid w:val="00615DC2"/>
    <w:rPr>
      <w:rFonts w:ascii="Calibri" w:eastAsia="Times New Roman" w:hAnsi="Calibri" w:cs="Shruti"/>
      <w:sz w:val="22"/>
      <w:szCs w:val="22"/>
      <w:lang w:bidi="ar-SA"/>
    </w:rPr>
  </w:style>
  <w:style w:type="paragraph" w:customStyle="1" w:styleId="textpages">
    <w:name w:val="textpages"/>
    <w:basedOn w:val="Normal"/>
    <w:rsid w:val="00615DC2"/>
    <w:pPr>
      <w:spacing w:before="100" w:beforeAutospacing="1" w:after="100" w:afterAutospacing="1"/>
    </w:pPr>
    <w:rPr>
      <w:rFonts w:eastAsia="Times New Roman"/>
      <w:lang w:val="en-US" w:eastAsia="en-US" w:bidi="gu-IN"/>
    </w:rPr>
  </w:style>
  <w:style w:type="paragraph" w:customStyle="1" w:styleId="Default">
    <w:name w:val="Default"/>
    <w:rsid w:val="00615DC2"/>
    <w:pPr>
      <w:autoSpaceDE w:val="0"/>
      <w:autoSpaceDN w:val="0"/>
      <w:adjustRightInd w:val="0"/>
    </w:pPr>
    <w:rPr>
      <w:color w:val="000000"/>
      <w:sz w:val="24"/>
      <w:szCs w:val="24"/>
    </w:rPr>
  </w:style>
  <w:style w:type="paragraph" w:styleId="NoSpacing">
    <w:name w:val="No Spacing"/>
    <w:uiPriority w:val="1"/>
    <w:qFormat/>
    <w:rsid w:val="00615DC2"/>
    <w:rPr>
      <w:rFonts w:ascii="Calibri" w:eastAsia="Calibri" w:hAnsi="Calibri" w:cs="Shruti"/>
      <w:sz w:val="22"/>
      <w:szCs w:val="22"/>
      <w:lang w:val="ms-MY"/>
    </w:rPr>
  </w:style>
  <w:style w:type="paragraph" w:customStyle="1" w:styleId="a">
    <w:name w:val=".."/>
    <w:basedOn w:val="Normal"/>
    <w:next w:val="Normal"/>
    <w:uiPriority w:val="99"/>
    <w:rsid w:val="00615DC2"/>
    <w:pPr>
      <w:widowControl w:val="0"/>
      <w:autoSpaceDE w:val="0"/>
      <w:autoSpaceDN w:val="0"/>
      <w:adjustRightInd w:val="0"/>
    </w:pPr>
    <w:rPr>
      <w:rFonts w:eastAsia="Times New Roman"/>
      <w:lang w:val="en-US" w:eastAsia="en-US"/>
    </w:rPr>
  </w:style>
  <w:style w:type="paragraph" w:customStyle="1" w:styleId="msonormalcxspmiddle">
    <w:name w:val="msonormalcxspmiddle"/>
    <w:basedOn w:val="Normal"/>
    <w:uiPriority w:val="99"/>
    <w:rsid w:val="00615DC2"/>
    <w:pPr>
      <w:spacing w:before="100" w:beforeAutospacing="1" w:after="100" w:afterAutospacing="1"/>
    </w:pPr>
    <w:rPr>
      <w:rFonts w:eastAsia="Times New Roman"/>
      <w:lang w:val="en-US" w:eastAsia="en-US"/>
    </w:rPr>
  </w:style>
  <w:style w:type="paragraph" w:customStyle="1" w:styleId="FigureCaption">
    <w:name w:val="Figure Caption"/>
    <w:basedOn w:val="Normal"/>
    <w:rsid w:val="00615DC2"/>
    <w:pPr>
      <w:autoSpaceDE w:val="0"/>
      <w:autoSpaceDN w:val="0"/>
      <w:jc w:val="both"/>
    </w:pPr>
    <w:rPr>
      <w:rFonts w:eastAsia="Times New Roman"/>
      <w:sz w:val="16"/>
      <w:szCs w:val="16"/>
      <w:lang w:val="en-US" w:eastAsia="en-US"/>
    </w:rPr>
  </w:style>
  <w:style w:type="paragraph" w:customStyle="1" w:styleId="references0">
    <w:name w:val="references"/>
    <w:rsid w:val="00615DC2"/>
    <w:pPr>
      <w:numPr>
        <w:numId w:val="8"/>
      </w:numPr>
      <w:spacing w:after="50" w:line="180" w:lineRule="exact"/>
      <w:jc w:val="both"/>
    </w:pPr>
    <w:rPr>
      <w:rFonts w:eastAsia="MS Mincho"/>
      <w:noProof/>
      <w:sz w:val="16"/>
      <w:szCs w:val="16"/>
    </w:rPr>
  </w:style>
  <w:style w:type="character" w:customStyle="1" w:styleId="Heading1Char">
    <w:name w:val="Heading 1 Char"/>
    <w:basedOn w:val="DefaultParagraphFont"/>
    <w:link w:val="Heading1"/>
    <w:uiPriority w:val="9"/>
    <w:rsid w:val="00615DC2"/>
    <w:rPr>
      <w:rFonts w:ascii="Arial" w:hAnsi="Arial" w:cs="Arial"/>
      <w:b/>
      <w:bCs/>
      <w:kern w:val="32"/>
      <w:sz w:val="32"/>
      <w:szCs w:val="32"/>
      <w:lang w:val="en-AU" w:eastAsia="zh-CN"/>
    </w:rPr>
  </w:style>
  <w:style w:type="character" w:customStyle="1" w:styleId="NormalWebChar">
    <w:name w:val="Normal (Web) Char"/>
    <w:basedOn w:val="DefaultParagraphFont"/>
    <w:link w:val="NormalWeb"/>
    <w:uiPriority w:val="99"/>
    <w:qFormat/>
    <w:rsid w:val="00615DC2"/>
    <w:rPr>
      <w:rFonts w:eastAsia="Times New Roman"/>
      <w:sz w:val="24"/>
      <w:szCs w:val="24"/>
    </w:rPr>
  </w:style>
  <w:style w:type="character" w:customStyle="1" w:styleId="ListParagraphChar">
    <w:name w:val="List Paragraph Char"/>
    <w:aliases w:val="Bullet List Char,FooterText Char,List Paragraph1 Char,numbered Char,List Paragraph Char Char Char,List Paragraph11 Char,Equipment Char,Colorful List - Accent 11 Char,List 1 Paragraph Char,d_bodyb Char,List Paragraph111 Char,lp1 Char"/>
    <w:basedOn w:val="DefaultParagraphFont"/>
    <w:link w:val="ListParagraph"/>
    <w:uiPriority w:val="34"/>
    <w:rsid w:val="00615DC2"/>
    <w:rPr>
      <w:rFonts w:ascii="Calibri" w:eastAsia="Times New Roman" w:hAnsi="Calibri"/>
      <w:sz w:val="22"/>
      <w:szCs w:val="22"/>
    </w:rPr>
  </w:style>
  <w:style w:type="paragraph" w:styleId="BodyTextFirstIndent">
    <w:name w:val="Body Text First Indent"/>
    <w:basedOn w:val="BodyText"/>
    <w:link w:val="BodyTextFirstIndentChar"/>
    <w:uiPriority w:val="99"/>
    <w:rsid w:val="00615DC2"/>
    <w:pPr>
      <w:spacing w:after="0" w:line="240" w:lineRule="auto"/>
      <w:ind w:firstLine="360"/>
    </w:pPr>
    <w:rPr>
      <w:rFonts w:ascii="Times New Roman" w:eastAsia="SimSun" w:hAnsi="Times New Roman" w:cs="Times New Roman"/>
      <w:sz w:val="24"/>
      <w:szCs w:val="24"/>
      <w:lang w:val="en-AU" w:eastAsia="zh-CN"/>
    </w:rPr>
  </w:style>
  <w:style w:type="character" w:customStyle="1" w:styleId="BodyTextFirstIndentChar">
    <w:name w:val="Body Text First Indent Char"/>
    <w:basedOn w:val="BodyTextChar"/>
    <w:link w:val="BodyTextFirstIndent"/>
    <w:uiPriority w:val="99"/>
    <w:rsid w:val="00615DC2"/>
    <w:rPr>
      <w:rFonts w:ascii="Calibri" w:eastAsia="Times New Roman" w:hAnsi="Calibri" w:cs="Shruti"/>
      <w:sz w:val="24"/>
      <w:szCs w:val="24"/>
      <w:lang w:val="en-AU" w:eastAsia="zh-CN" w:bidi="ar-SA"/>
    </w:rPr>
  </w:style>
  <w:style w:type="paragraph" w:styleId="BodyTextIndent">
    <w:name w:val="Body Text Indent"/>
    <w:basedOn w:val="Normal"/>
    <w:link w:val="BodyTextIndentChar"/>
    <w:uiPriority w:val="99"/>
    <w:rsid w:val="00615DC2"/>
    <w:pPr>
      <w:spacing w:after="120"/>
      <w:ind w:left="360"/>
    </w:pPr>
  </w:style>
  <w:style w:type="character" w:customStyle="1" w:styleId="BodyTextIndentChar">
    <w:name w:val="Body Text Indent Char"/>
    <w:basedOn w:val="DefaultParagraphFont"/>
    <w:link w:val="BodyTextIndent"/>
    <w:uiPriority w:val="99"/>
    <w:rsid w:val="00615DC2"/>
    <w:rPr>
      <w:sz w:val="24"/>
      <w:szCs w:val="24"/>
      <w:lang w:val="en-AU" w:eastAsia="zh-CN"/>
    </w:rPr>
  </w:style>
  <w:style w:type="paragraph" w:styleId="BodyTextFirstIndent2">
    <w:name w:val="Body Text First Indent 2"/>
    <w:basedOn w:val="BodyTextIndent"/>
    <w:link w:val="BodyTextFirstIndent2Char"/>
    <w:uiPriority w:val="99"/>
    <w:rsid w:val="00615DC2"/>
    <w:pPr>
      <w:spacing w:after="0"/>
      <w:ind w:firstLine="360"/>
    </w:pPr>
  </w:style>
  <w:style w:type="character" w:customStyle="1" w:styleId="BodyTextFirstIndent2Char">
    <w:name w:val="Body Text First Indent 2 Char"/>
    <w:basedOn w:val="BodyTextIndentChar"/>
    <w:link w:val="BodyTextFirstIndent2"/>
    <w:uiPriority w:val="99"/>
    <w:rsid w:val="00615DC2"/>
    <w:rPr>
      <w:sz w:val="24"/>
      <w:szCs w:val="24"/>
      <w:lang w:val="en-AU" w:eastAsia="zh-CN"/>
    </w:rPr>
  </w:style>
  <w:style w:type="table" w:customStyle="1" w:styleId="LightShading1">
    <w:name w:val="Light Shading1"/>
    <w:basedOn w:val="TableNormal"/>
    <w:uiPriority w:val="60"/>
    <w:rsid w:val="00615DC2"/>
    <w:rPr>
      <w:rFonts w:eastAsia="Calibri"/>
      <w:color w:val="000000"/>
      <w:sz w:val="24"/>
      <w:szCs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yhemcb">
    <w:name w:val="yhemcb"/>
    <w:rsid w:val="00615DC2"/>
  </w:style>
  <w:style w:type="paragraph" w:styleId="Title">
    <w:name w:val="Title"/>
    <w:basedOn w:val="Normal"/>
    <w:next w:val="Normal"/>
    <w:link w:val="TitleChar"/>
    <w:uiPriority w:val="10"/>
    <w:qFormat/>
    <w:rsid w:val="00615DC2"/>
    <w:pPr>
      <w:spacing w:before="240" w:after="60" w:line="276" w:lineRule="auto"/>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rsid w:val="00615DC2"/>
    <w:rPr>
      <w:rFonts w:ascii="Cambria" w:eastAsia="Times New Roman" w:hAnsi="Cambria"/>
      <w:b/>
      <w:bCs/>
      <w:kern w:val="28"/>
      <w:sz w:val="32"/>
      <w:szCs w:val="32"/>
      <w:lang w:val="en-AU" w:eastAsia="zh-CN"/>
    </w:rPr>
  </w:style>
  <w:style w:type="character" w:styleId="Strong">
    <w:name w:val="Strong"/>
    <w:basedOn w:val="DefaultParagraphFont"/>
    <w:uiPriority w:val="22"/>
    <w:qFormat/>
    <w:rsid w:val="00615DC2"/>
    <w:rPr>
      <w:b/>
      <w:bCs/>
    </w:rPr>
  </w:style>
  <w:style w:type="character" w:customStyle="1" w:styleId="UnresolvedMention1">
    <w:name w:val="Unresolved Mention1"/>
    <w:basedOn w:val="DefaultParagraphFont"/>
    <w:uiPriority w:val="99"/>
    <w:rsid w:val="00615DC2"/>
    <w:rPr>
      <w:color w:val="605E5C"/>
      <w:shd w:val="clear" w:color="auto" w:fill="E1DFDD"/>
    </w:rPr>
  </w:style>
  <w:style w:type="character" w:styleId="HTMLCite">
    <w:name w:val="HTML Cite"/>
    <w:basedOn w:val="DefaultParagraphFont"/>
    <w:uiPriority w:val="99"/>
    <w:rsid w:val="00615DC2"/>
    <w:rPr>
      <w:i/>
      <w:iCs/>
    </w:rPr>
  </w:style>
  <w:style w:type="character" w:customStyle="1" w:styleId="A3">
    <w:name w:val="A3"/>
    <w:uiPriority w:val="99"/>
    <w:rsid w:val="00615DC2"/>
    <w:rPr>
      <w:color w:val="000000"/>
      <w:sz w:val="10"/>
      <w:szCs w:val="10"/>
      <w:u w:val="single"/>
    </w:rPr>
  </w:style>
  <w:style w:type="character" w:customStyle="1" w:styleId="tlid-translation">
    <w:name w:val="tlid-translation"/>
    <w:rsid w:val="00615DC2"/>
  </w:style>
  <w:style w:type="character" w:customStyle="1" w:styleId="UnresolvedMention2">
    <w:name w:val="Unresolved Mention2"/>
    <w:basedOn w:val="DefaultParagraphFont"/>
    <w:uiPriority w:val="99"/>
    <w:rsid w:val="00615DC2"/>
    <w:rPr>
      <w:color w:val="605E5C"/>
      <w:shd w:val="clear" w:color="auto" w:fill="E1DFDD"/>
    </w:rPr>
  </w:style>
  <w:style w:type="table" w:customStyle="1" w:styleId="TableGridLight1">
    <w:name w:val="Table Grid Light1"/>
    <w:basedOn w:val="TableNormal"/>
    <w:uiPriority w:val="40"/>
    <w:rsid w:val="00615DC2"/>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papertitle">
    <w:name w:val="paper title"/>
    <w:rsid w:val="00615DC2"/>
    <w:pPr>
      <w:spacing w:after="120"/>
      <w:jc w:val="center"/>
    </w:pPr>
    <w:rPr>
      <w:rFonts w:eastAsia="MS Mincho"/>
      <w:noProof/>
      <w:sz w:val="48"/>
      <w:szCs w:val="48"/>
    </w:rPr>
  </w:style>
  <w:style w:type="paragraph" w:customStyle="1" w:styleId="msonormal0">
    <w:name w:val="msonormal"/>
    <w:basedOn w:val="Normal"/>
    <w:rsid w:val="00615DC2"/>
    <w:pPr>
      <w:spacing w:before="100" w:beforeAutospacing="1" w:after="100" w:afterAutospacing="1"/>
    </w:pPr>
    <w:rPr>
      <w:rFonts w:eastAsia="Times New Roman"/>
      <w:lang w:val="en-US" w:eastAsia="en-US"/>
    </w:rPr>
  </w:style>
  <w:style w:type="character" w:customStyle="1" w:styleId="UnresolvedMention3">
    <w:name w:val="Unresolved Mention3"/>
    <w:basedOn w:val="DefaultParagraphFont"/>
    <w:uiPriority w:val="99"/>
    <w:rsid w:val="00615DC2"/>
    <w:rPr>
      <w:color w:val="605E5C"/>
      <w:shd w:val="clear" w:color="auto" w:fill="E1DFDD"/>
    </w:rPr>
  </w:style>
  <w:style w:type="character" w:customStyle="1" w:styleId="UnresolvedMention4">
    <w:name w:val="Unresolved Mention4"/>
    <w:basedOn w:val="DefaultParagraphFont"/>
    <w:uiPriority w:val="99"/>
    <w:rsid w:val="00615DC2"/>
    <w:rPr>
      <w:color w:val="605E5C"/>
      <w:shd w:val="clear" w:color="auto" w:fill="E1DFDD"/>
    </w:rPr>
  </w:style>
  <w:style w:type="character" w:customStyle="1" w:styleId="desktop-title-subcontent">
    <w:name w:val="desktop-title-subcontent"/>
    <w:basedOn w:val="DefaultParagraphFont"/>
    <w:rsid w:val="00615DC2"/>
  </w:style>
  <w:style w:type="character" w:customStyle="1" w:styleId="UnresolvedMention5">
    <w:name w:val="Unresolved Mention5"/>
    <w:basedOn w:val="DefaultParagraphFont"/>
    <w:uiPriority w:val="99"/>
    <w:semiHidden/>
    <w:unhideWhenUsed/>
    <w:rsid w:val="00615DC2"/>
    <w:rPr>
      <w:color w:val="605E5C"/>
      <w:shd w:val="clear" w:color="auto" w:fill="E1DFDD"/>
    </w:rPr>
  </w:style>
  <w:style w:type="character" w:customStyle="1" w:styleId="mw-headline">
    <w:name w:val="mw-headline"/>
    <w:basedOn w:val="DefaultParagraphFont"/>
    <w:rsid w:val="006E3D45"/>
  </w:style>
  <w:style w:type="numbering" w:customStyle="1" w:styleId="RTFNum2">
    <w:name w:val="RTF_Num 2"/>
    <w:basedOn w:val="NoList"/>
    <w:rsid w:val="00570C40"/>
    <w:pPr>
      <w:numPr>
        <w:numId w:val="11"/>
      </w:numPr>
    </w:pPr>
  </w:style>
  <w:style w:type="paragraph" w:customStyle="1" w:styleId="Els-Abstract-head">
    <w:name w:val="Els-Abstract-head"/>
    <w:next w:val="Normal"/>
    <w:rsid w:val="00987E2F"/>
    <w:pPr>
      <w:keepNext/>
      <w:suppressAutoHyphens/>
      <w:spacing w:before="440" w:after="200"/>
    </w:pPr>
    <w:rPr>
      <w:b/>
      <w:sz w:val="18"/>
    </w:rPr>
  </w:style>
  <w:style w:type="paragraph" w:customStyle="1" w:styleId="Els-history">
    <w:name w:val="Els-history"/>
    <w:next w:val="Normal"/>
    <w:rsid w:val="00987E2F"/>
    <w:pPr>
      <w:pBdr>
        <w:top w:val="single" w:sz="4" w:space="1" w:color="auto"/>
      </w:pBdr>
      <w:spacing w:line="230" w:lineRule="exact"/>
    </w:pPr>
    <w:rPr>
      <w:noProof/>
      <w:sz w:val="15"/>
    </w:rPr>
  </w:style>
  <w:style w:type="table" w:customStyle="1" w:styleId="TableGrid0">
    <w:name w:val="TableGrid"/>
    <w:rsid w:val="00736E15"/>
    <w:rPr>
      <w:rFonts w:asciiTheme="minorHAnsi" w:eastAsiaTheme="minorEastAsia" w:hAnsiTheme="minorHAnsi" w:cstheme="minorBidi"/>
      <w:sz w:val="22"/>
      <w:szCs w:val="22"/>
      <w:lang w:val="en-IN" w:eastAsia="en-IN" w:bidi="te-IN"/>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656641"/>
    <w:rPr>
      <w:sz w:val="16"/>
      <w:szCs w:val="16"/>
    </w:rPr>
  </w:style>
  <w:style w:type="paragraph" w:styleId="CommentText">
    <w:name w:val="annotation text"/>
    <w:basedOn w:val="Normal"/>
    <w:link w:val="CommentTextChar"/>
    <w:uiPriority w:val="99"/>
    <w:semiHidden/>
    <w:unhideWhenUsed/>
    <w:rsid w:val="00656641"/>
    <w:rPr>
      <w:sz w:val="20"/>
      <w:szCs w:val="20"/>
    </w:rPr>
  </w:style>
  <w:style w:type="character" w:customStyle="1" w:styleId="CommentTextChar">
    <w:name w:val="Comment Text Char"/>
    <w:basedOn w:val="DefaultParagraphFont"/>
    <w:link w:val="CommentText"/>
    <w:uiPriority w:val="99"/>
    <w:semiHidden/>
    <w:rsid w:val="00656641"/>
    <w:rPr>
      <w:lang w:val="en-AU" w:eastAsia="zh-CN"/>
    </w:rPr>
  </w:style>
  <w:style w:type="paragraph" w:styleId="CommentSubject">
    <w:name w:val="annotation subject"/>
    <w:basedOn w:val="CommentText"/>
    <w:next w:val="CommentText"/>
    <w:link w:val="CommentSubjectChar"/>
    <w:uiPriority w:val="99"/>
    <w:semiHidden/>
    <w:unhideWhenUsed/>
    <w:rsid w:val="00656641"/>
    <w:rPr>
      <w:b/>
      <w:bCs/>
    </w:rPr>
  </w:style>
  <w:style w:type="character" w:customStyle="1" w:styleId="CommentSubjectChar">
    <w:name w:val="Comment Subject Char"/>
    <w:basedOn w:val="CommentTextChar"/>
    <w:link w:val="CommentSubject"/>
    <w:uiPriority w:val="99"/>
    <w:semiHidden/>
    <w:rsid w:val="00656641"/>
    <w:rPr>
      <w:b/>
      <w:bCs/>
      <w:lang w:val="en-AU" w:eastAsia="zh-CN"/>
    </w:rPr>
  </w:style>
  <w:style w:type="table" w:styleId="LightGrid-Accent5">
    <w:name w:val="Light Grid Accent 5"/>
    <w:basedOn w:val="TableNormal"/>
    <w:uiPriority w:val="62"/>
    <w:rsid w:val="00DF658B"/>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MDPI21heading1">
    <w:name w:val="MDPI_2.1_heading1"/>
    <w:qFormat/>
    <w:rsid w:val="00D3488B"/>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character" w:customStyle="1" w:styleId="inlineblock">
    <w:name w:val="inlineblock"/>
    <w:basedOn w:val="DefaultParagraphFont"/>
    <w:rsid w:val="0036558E"/>
  </w:style>
  <w:style w:type="character" w:customStyle="1" w:styleId="sciprofiles-linkname">
    <w:name w:val="sciprofiles-link__name"/>
    <w:basedOn w:val="DefaultParagraphFont"/>
    <w:rsid w:val="0036558E"/>
  </w:style>
  <w:style w:type="character" w:customStyle="1" w:styleId="html-italic">
    <w:name w:val="html-italic"/>
    <w:basedOn w:val="DefaultParagraphFont"/>
    <w:rsid w:val="0036558E"/>
  </w:style>
  <w:style w:type="character" w:customStyle="1" w:styleId="UnresolvedMention6">
    <w:name w:val="Unresolved Mention6"/>
    <w:basedOn w:val="DefaultParagraphFont"/>
    <w:uiPriority w:val="99"/>
    <w:semiHidden/>
    <w:unhideWhenUsed/>
    <w:rsid w:val="007F34F7"/>
    <w:rPr>
      <w:color w:val="605E5C"/>
      <w:shd w:val="clear" w:color="auto" w:fill="E1DFDD"/>
    </w:rPr>
  </w:style>
  <w:style w:type="paragraph" w:customStyle="1" w:styleId="TableParagraph">
    <w:name w:val="Table Paragraph"/>
    <w:basedOn w:val="Normal"/>
    <w:uiPriority w:val="1"/>
    <w:qFormat/>
    <w:rsid w:val="00413E33"/>
    <w:pPr>
      <w:widowControl w:val="0"/>
      <w:autoSpaceDE w:val="0"/>
      <w:autoSpaceDN w:val="0"/>
    </w:pPr>
    <w:rPr>
      <w:rFonts w:eastAsia="Times New Roman"/>
      <w:sz w:val="22"/>
      <w:szCs w:val="22"/>
      <w:lang w:val="en-US" w:eastAsia="en-US"/>
    </w:rPr>
  </w:style>
  <w:style w:type="paragraph" w:styleId="Quote">
    <w:name w:val="Quote"/>
    <w:basedOn w:val="Normal"/>
    <w:next w:val="Normal"/>
    <w:link w:val="QuoteChar"/>
    <w:uiPriority w:val="29"/>
    <w:qFormat/>
    <w:rsid w:val="004F7D77"/>
    <w:pPr>
      <w:spacing w:after="200" w:line="276" w:lineRule="auto"/>
    </w:pPr>
    <w:rPr>
      <w:rFonts w:asciiTheme="minorHAnsi" w:eastAsiaTheme="minorEastAsia" w:hAnsiTheme="minorHAnsi" w:cstheme="minorBidi"/>
      <w:i/>
      <w:iCs/>
      <w:color w:val="000000" w:themeColor="text1"/>
      <w:sz w:val="22"/>
      <w:szCs w:val="22"/>
      <w:lang w:val="en-US" w:eastAsia="en-US"/>
    </w:rPr>
  </w:style>
  <w:style w:type="character" w:customStyle="1" w:styleId="QuoteChar">
    <w:name w:val="Quote Char"/>
    <w:basedOn w:val="DefaultParagraphFont"/>
    <w:link w:val="Quote"/>
    <w:uiPriority w:val="29"/>
    <w:rsid w:val="004F7D77"/>
    <w:rPr>
      <w:rFonts w:asciiTheme="minorHAnsi" w:eastAsiaTheme="minorEastAsia" w:hAnsiTheme="minorHAnsi" w:cstheme="minorBidi"/>
      <w:i/>
      <w:iCs/>
      <w:color w:val="000000" w:themeColor="text1"/>
      <w:sz w:val="22"/>
      <w:szCs w:val="22"/>
    </w:rPr>
  </w:style>
  <w:style w:type="character" w:styleId="IntenseEmphasis">
    <w:name w:val="Intense Emphasis"/>
    <w:basedOn w:val="DefaultParagraphFont"/>
    <w:uiPriority w:val="21"/>
    <w:qFormat/>
    <w:rsid w:val="004F7D77"/>
    <w:rPr>
      <w:b/>
      <w:bCs/>
      <w:i/>
      <w:iCs/>
      <w:color w:val="4F81BD"/>
    </w:rPr>
  </w:style>
  <w:style w:type="character" w:customStyle="1" w:styleId="kwd-text">
    <w:name w:val="kwd-text"/>
    <w:basedOn w:val="DefaultParagraphFont"/>
    <w:rsid w:val="004F7D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oleObject" Target="embeddings/oleObject1.bin"/><Relationship Id="rId1" Type="http://schemas.openxmlformats.org/officeDocument/2006/relationships/image" Target="media/image2.png"/><Relationship Id="rId5" Type="http://schemas.openxmlformats.org/officeDocument/2006/relationships/oleObject" Target="embeddings/oleObject2.bin"/><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red</b:Tag>
    <b:SourceType>InternetSite</b:SourceType>
    <b:Guid>{929690FA-1A49-4A2F-99EE-3E0E01B63FAE}</b:Guid>
    <b:Author>
      <b:Author>
        <b:NameList>
          <b:Person>
            <b:Last>redhat.com</b:Last>
          </b:Person>
        </b:NameList>
      </b:Author>
    </b:Author>
    <b:InternetSiteTitle>History</b:InternetSiteTitle>
    <b:URL>http://www.redhat.com/about/companyprofile/history/</b:URL>
    <b:RefOrder>1</b:RefOrder>
  </b:Source>
  <b:Source>
    <b:Tag>Mik03</b:Tag>
    <b:SourceType>Misc</b:SourceType>
    <b:Guid>{67A2DED6-FDC6-42DE-9302-890CEF2A2A26}</b:Guid>
    <b:Year>2003</b:Year>
    <b:Author>
      <b:Author>
        <b:NameList>
          <b:Person>
            <b:Last>Angelo</b:Last>
            <b:First>Mike</b:First>
          </b:Person>
        </b:NameList>
      </b:Author>
    </b:Author>
    <b:Title>Simple logical-anatomy of a Linux-based distribution</b:Title>
    <b:RefOrder>2</b:RefOrder>
  </b:Source>
  <b:Source>
    <b:Tag>Avi08</b:Tag>
    <b:SourceType>InternetSite</b:SourceType>
    <b:Guid>{3F769099-46BD-42A9-9469-D4A0F12B21C4}</b:Guid>
    <b:Author>
      <b:Author>
        <b:NameList>
          <b:Person>
            <b:Last>Kumar</b:Last>
            <b:First>Avinesh</b:First>
          </b:Person>
        </b:NameList>
      </b:Author>
    </b:Author>
    <b:InternetSiteTitle>Mutliprocessing with the Completely Fair Scheduler</b:InternetSiteTitle>
    <b:Year>08</b:Year>
    <b:Month>Jan</b:Month>
    <b:URL>http://www.ibm.com/developerworks/linux/library/l-cfs/?ca=dgr-lnxw06CFC4Linux</b:URL>
    <b:RefOrder>3</b:RefOrder>
  </b:Source>
  <b:Source>
    <b:Tag>red1</b:Tag>
    <b:SourceType>InternetSite</b:SourceType>
    <b:Guid>{B7583E97-573A-4485-AE97-E2AE90B1B0A9}</b:Guid>
    <b:Author>
      <b:Author>
        <b:NameList>
          <b:Person>
            <b:Last>redhat</b:Last>
          </b:Person>
        </b:NameList>
      </b:Author>
    </b:Author>
    <b:InternetSiteTitle>Red Hat Labs</b:InternetSiteTitle>
    <b:URL>www.labs.redhat.com</b:URL>
    <b:RefOrder>4</b:RefOrder>
  </b:Source>
  <b:Source>
    <b:Tag>Joh</b:Tag>
    <b:SourceType>InternetSite</b:SourceType>
    <b:Guid>{5D07AD27-046B-46FA-A30D-FEAE54272F3F}</b:Guid>
    <b:Author>
      <b:Author>
        <b:NameList>
          <b:Person>
            <b:Last>Shakshober</b:Last>
            <b:First>John</b:First>
          </b:Person>
        </b:NameList>
      </b:Author>
    </b:Author>
    <b:InternetSiteTitle>Choosing an I/O Scheduler for Red Hat</b:InternetSiteTitle>
    <b:URL>http://www.redhat.com/magazine/008jun05/features/schedulers/ </b:URL>
    <b:RefOrder>5</b:RefOrder>
  </b:Source>
  <b:Source>
    <b:Tag>eHo09</b:Tag>
    <b:SourceType>InternetSite</b:SourceType>
    <b:Guid>{64AFFC9E-E38D-48C4-AF31-24200F62F07B}</b:Guid>
    <b:InternetSiteTitle>eHow.com</b:InternetSiteTitle>
    <b:Year>2009</b:Year>
    <b:Month>September</b:Month>
    <b:URL>http://www.ehow.com/about_5347803_main-memory-computer.html</b:URL>
    <b:Author>
      <b:Author>
        <b:NameList>
          <b:Person>
            <b:Last>Landers</b:Last>
            <b:First>John</b:First>
          </b:Person>
        </b:NameList>
      </b:Author>
    </b:Author>
    <b:RefOrder>6</b:RefOrder>
  </b:Source>
  <b:Source>
    <b:Tag>Red</b:Tag>
    <b:SourceType>InternetSite</b:SourceType>
    <b:Guid>{4698EF43-A28B-490A-8D73-9B68036CFDE3}</b:Guid>
    <b:InternetSiteTitle>Red Hat Documentation - Main Memory - RAM</b:InternetSiteTitle>
    <b:URL>http://docs.redhat.com/docs/en-US/Red_Hat_Enterprise_Linux/4/html/Introduction_To_System_Administration/s2-memory-ram.html</b:URL>
    <b:RefOrder>7</b:RefOrder>
  </b:Source>
  <b:Source>
    <b:Tag>Red1</b:Tag>
    <b:SourceType>InternetSite</b:SourceType>
    <b:Guid>{FE3D5E53-8A24-478E-BCA0-29AE8F0880B6}</b:Guid>
    <b:InternetSiteTitle>Red Hat Documentation - Swap Space</b:InternetSiteTitle>
    <b:URL>http://docs.redhat.com/docs/en-US/Red_Hat_Enterprise_Linux/6/html/Storage_Administration_Guide/ch-swapspace.html</b:URL>
    <b:RefOrder>8</b:RefOrder>
  </b:Source>
  <b:Source>
    <b:Tag>Red2</b:Tag>
    <b:SourceType>InternetSite</b:SourceType>
    <b:Guid>{E8F90E4B-9480-4081-8144-F3D215A437C1}</b:Guid>
    <b:InternetSiteTitle>Red Hat Documentation - Memory Allocation</b:InternetSiteTitle>
    <b:URL>http://docs.redhat.com/docs/en-US/Red_Hat_Enterprise_MRG/1.3/html/Realtime_Reference_Guide/chap-Realtime_Reference_Guide-Memory_allocation.html</b:URL>
    <b:RefOrder>9</b:RefOrder>
  </b:Source>
  <b:Source>
    <b:Tag>Red07</b:Tag>
    <b:SourceType>DocumentFromInternetSite</b:SourceType>
    <b:Guid>{42BC91D7-F731-4EF5-B2BD-373199EAEE7E}</b:Guid>
    <b:InternetSiteTitle>Red Hat Enterprise Linux 5.1</b:InternetSiteTitle>
    <b:Year>2007</b:Year>
    <b:URL>http://docs.redhat.com/docs/en-US/Red_Hat_Enterprise_Linux/5/html/Oracle_Tuning_Guide/RHELTuningandOptimizationforOracleV11.pdf</b:URL>
    <b:RefOrder>10</b:RefOrder>
  </b:Source>
  <b:Source>
    <b:Tag>Nor</b:Tag>
    <b:SourceType>InternetSite</b:SourceType>
    <b:Guid>{5047EC0E-199B-4BB4-B3BD-650BB6D9121D}</b:Guid>
    <b:Author>
      <b:Author>
        <b:NameList>
          <b:Person>
            <b:Last>Murray</b:Last>
            <b:First>Norm</b:First>
          </b:Person>
          <b:Person>
            <b:Last>Horman</b:Last>
            <b:First>Neil</b:First>
          </b:Person>
        </b:NameList>
      </b:Author>
    </b:Author>
    <b:InternetSiteTitle>Red Hat Magazine - Understanding Virtual Memory</b:InternetSiteTitle>
    <b:URL>http://www.redhat.com/magazine/001nov04/features/vm/</b:URL>
    <b:Year>2004</b:Year>
    <b:Month>November</b:Month>
    <b:RefOrder>11</b:RefOrder>
  </b:Source>
  <b:Source>
    <b:Tag>Lin</b:Tag>
    <b:SourceType>InternetSite</b:SourceType>
    <b:Guid>{56FCF00E-C9DB-4A34-850F-82AC1E502412}</b:Guid>
    <b:InternetSiteTitle>Linux.com - All about Linux swap space</b:InternetSiteTitle>
    <b:URL>http://www.linux.com/news/software/applications/8208-all-about-linux-swap-space</b:URL>
    <b:Year>2007</b:Year>
    <b:Month>September</b:Month>
    <b:RefOrder>12</b:RefOrder>
  </b:Source>
  <b:Source>
    <b:Tag>Und05</b:Tag>
    <b:SourceType>InternetSite</b:SourceType>
    <b:Guid>{FA7820CF-3179-4B09-9F33-3C53F55DEFC6}</b:Guid>
    <b:InternetSiteTitle>Understanding Virtual Memory In Red Hat Enterprise Linux 4</b:InternetSiteTitle>
    <b:Year>2005</b:Year>
    <b:Month>December</b:Month>
    <b:URL>http://people.redhat.com/nhorman/papers/rhel4_vm.pdf</b:URL>
    <b:Author>
      <b:Author>
        <b:NameList>
          <b:Person>
            <b:Last>Horman</b:Last>
            <b:First>Neil</b:First>
          </b:Person>
        </b:NameList>
      </b:Author>
    </b:Author>
    <b:RefOrder>13</b:RefOrder>
  </b:Source>
  <b:Source>
    <b:Tag>Jon07</b:Tag>
    <b:SourceType>InternetSite</b:SourceType>
    <b:Guid>{647C52B0-BB4D-42E3-A996-F8657CA0DE96}</b:Guid>
    <b:Author>
      <b:Author>
        <b:NameList>
          <b:Person>
            <b:Last>Jones</b:Last>
            <b:First>M.</b:First>
            <b:Middle>Tim</b:Middle>
          </b:Person>
        </b:NameList>
      </b:Author>
    </b:Author>
    <b:InternetSiteTitle>IBM.com - Anatomy of the Linux slab allocator</b:InternetSiteTitle>
    <b:Year>2007</b:Year>
    <b:Month>May</b:Month>
    <b:URL>http://www.ibm.com/developerworks/linux/library/l-linux-slab-allocator/</b:URL>
    <b:RefOrder>14</b:RefOrder>
  </b:Source>
  <b:Source>
    <b:Tag>Tec</b:Tag>
    <b:SourceType>InternetSite</b:SourceType>
    <b:Guid>{B0CBCEE4-A80F-481A-82BD-47B9A3C73832}</b:Guid>
    <b:InternetSiteTitle>TechTerms.com - Secondary Storage</b:InternetSiteTitle>
    <b:URL>http://www.techterms.com/definition/secondarystorage</b:URL>
    <b:RefOrder>15</b:RefOrder>
  </b:Source>
  <b:Source>
    <b:Tag>Red3</b:Tag>
    <b:SourceType>DocumentFromInternetSite</b:SourceType>
    <b:Guid>{A6938520-5F6F-40F3-B2BB-E3895160831D}</b:Guid>
    <b:InternetSiteTitle>Red Hat Documentation - Overview of File System Hierarchy Standard (FHS)</b:InternetSiteTitle>
    <b:URL>http://docs.redhat.com/docs/en-US/Red_Hat_Enterprise_Linux/6/html/Storage_Administration_Guide/s1-filesystem-fhs.html</b:URL>
    <b:RefOrder>16</b:RefOrder>
  </b:Source>
  <b:Source>
    <b:Tag>The06</b:Tag>
    <b:SourceType>InternetSite</b:SourceType>
    <b:Guid>{7D81F3D4-9A17-4F64-AEAB-D6724A64B800}</b:Guid>
    <b:InternetSiteTitle>The Linux Information Project (LINFO) - The /mnt Directory</b:InternetSiteTitle>
    <b:Year>2006</b:Year>
    <b:Month>February</b:Month>
    <b:URL>http://www.linfo.org/mnt.html</b:URL>
    <b:RefOrder>17</b:RefOrder>
  </b:Source>
  <b:Source>
    <b:Tag>The01</b:Tag>
    <b:SourceType>DocumentFromInternetSite</b:SourceType>
    <b:Guid>{4475B215-63A2-47F3-A346-CAC210AC9B0F}</b:Guid>
    <b:InternetSiteTitle>The Official Red Hat Linux Reference Guide</b:InternetSiteTitle>
    <b:Year>2001</b:Year>
    <b:URL>http://www.redhat.com/docs/manuals/linux/RHL-7.1-Manual/pdf/rhl71-rg.pdf</b:URL>
    <b:RefOrder>18</b:RefOrder>
  </b:Source>
  <b:Source>
    <b:Tag>The011</b:Tag>
    <b:SourceType>DocumentFromInternetSite</b:SourceType>
    <b:Guid>{3C93C04E-83BF-417C-B9E7-7EF5EECC66AA}</b:Guid>
    <b:InternetSiteTitle>The Official Red Hat Linux Getting Started Guide</b:InternetSiteTitle>
    <b:Year>2001</b:Year>
    <b:URL>http://www.redhat.com/docs/manuals/linux/RHL-7.1-Manual/pdf/rhl71-gsg.pdf</b:URL>
    <b:RefOrder>19</b:RefOrder>
  </b:Source>
  <b:Source>
    <b:Tag>Hel07</b:Tag>
    <b:SourceType>DocumentFromInternetSite</b:SourceType>
    <b:Guid>{879933CE-F3D6-4D28-BB2B-B62BF32A5CFD}</b:Guid>
    <b:Author>
      <b:Author>
        <b:NameList>
          <b:Person>
            <b:Last>Heller</b:Last>
            <b:First>Dave</b:First>
          </b:Person>
          <b:Person>
            <b:Last>Pierson</b:Last>
            <b:First>Dave</b:First>
          </b:Person>
        </b:NameList>
      </b:Author>
    </b:Author>
    <b:InternetSiteTitle>Installing Red Hat Linux from a USB flashdrive</b:InternetSiteTitle>
    <b:Year>2007</b:Year>
    <b:Month>November</b:Month>
    <b:URL>http://www-03.ibm.com/support/techdocs/atsmastr.nsf/5cb5ed706d254a8186256c71006d2e0a/075b0425275140b48625744700089bb6/$FILE/Installing%20Linux%20from%20a%20USB%20flashdrive.v20.pdf</b:URL>
    <b:RefOrder>20</b:RefOrder>
  </b:Source>
  <b:Source>
    <b:Tag>PCG01</b:Tag>
    <b:SourceType>DocumentFromInternetSite</b:SourceType>
    <b:Guid>{4FA714A0-37B7-47F8-87E0-A7750BAFAB1F}</b:Guid>
    <b:InternetSiteTitle>PCGuide - Ref - RAID Levels</b:InternetSiteTitle>
    <b:Year>2001</b:Year>
    <b:Month>April</b:Month>
    <b:URL>http://pcguide.com/ref/hdd/perf/raid/levels/index.htm</b:URL>
    <b:Author>
      <b:Author>
        <b:NameList>
          <b:Person>
            <b:Last>Kozierok</b:Last>
            <b:First>Charles</b:First>
            <b:Middle>M</b:Middle>
          </b:Person>
        </b:NameList>
      </b:Author>
    </b:Author>
    <b:RefOrder>21</b:RefOrder>
  </b:Source>
  <b:Source>
    <b:Tag>RAI</b:Tag>
    <b:SourceType>DocumentFromInternetSite</b:SourceType>
    <b:Guid>{C49927C5-88FB-42D9-B950-3B5F17EA5AD8}</b:Guid>
    <b:InternetSiteTitle>RAID: High Performance, Reliable Secondary Storage</b:InternetSiteTitle>
    <b:URL>http://citeseerx.ist.psu.edu/viewdoc/download?doi=10.1.1.17.7866&amp;rep=rep1&amp;type=pdf</b:URL>
    <b:Author>
      <b:Author>
        <b:NameList>
          <b:Person>
            <b:Last>Chen</b:Last>
            <b:First>Peter</b:First>
            <b:Middle>M</b:Middle>
          </b:Person>
          <b:Person>
            <b:Last>Lee</b:Last>
            <b:First>Edward</b:First>
            <b:Middle>K</b:Middle>
          </b:Person>
          <b:Person>
            <b:Last>Gibson</b:Last>
            <b:First>Garth</b:First>
            <b:Middle>A</b:Middle>
          </b:Person>
          <b:Person>
            <b:Last>Katz</b:Last>
            <b:First>Randy</b:First>
            <b:Middle>H</b:Middle>
          </b:Person>
          <b:Person>
            <b:Last>Patterson</b:Last>
            <b:First>David</b:First>
            <b:Middle>A</b:Middle>
          </b:Person>
        </b:NameList>
      </b:Author>
    </b:Author>
    <b:RefOrder>22</b:RefOrder>
  </b:Source>
  <b:Source>
    <b:Tag>Red10asdf</b:Tag>
    <b:SourceType>DocumentFromInternetSite</b:SourceType>
    <b:Guid>{4DCF9059-7613-4A2B-B917-43C0291603B5}</b:Guid>
    <b:InternetSiteTitle>Red Hat Enterprise Linux 6 - Release Notes</b:InternetSiteTitle>
    <b:Year>2010</b:Year>
    <b:URL>http://docs.redhat.com/docs/en-US/Red_Hat_Enterprise_Linux/6/pdf/Release_Notes/Red_Hat_Enterprise_Linux-6-Release_Notes-en-US.pdf</b:URL>
    <b:RefOrder>23</b:RefOrder>
  </b:Source>
  <b:Source>
    <b:Tag>Red10</b:Tag>
    <b:SourceType>DocumentFromInternetSite</b:SourceType>
    <b:Guid>{09536BF1-B849-4DFA-B577-C3AF6C4A1A71}</b:Guid>
    <b:InternetSiteTitle>Red Hat Enterprise Linux 6 - Logical Volume Manager Administration</b:InternetSiteTitle>
    <b:Year>2010</b:Year>
    <b:URL>http://docs.redhat.com/docs/en-US/Red_Hat_Enterprise_Linux/6/pdf/Logical_Volume_Manager_Administration/Red_Hat_Enterprise_Linux-6-Logical_Volume_Manager_Administration-en-US.pdf</b:URL>
    <b:RefOrder>24</b:RefOrder>
  </b:Source>
  <b:Source>
    <b:Tag>Mar031</b:Tag>
    <b:SourceType>InternetSite</b:SourceType>
    <b:Guid>{724FF414-36DD-4B24-94A7-12ADE4F19E8D}</b:Guid>
    <b:Author>
      <b:Author>
        <b:NameList>
          <b:Person>
            <b:Last>Finley</b:Last>
            <b:First>Mark</b:First>
          </b:Person>
        </b:NameList>
      </b:Author>
    </b:Author>
    <b:InternetSiteTitle>On the Nature of Linux</b:InternetSiteTitle>
    <b:Year>2003</b:Year>
    <b:Month>Feb</b:Month>
    <b:URL>http://www.linux.ie/articles/onthenatureoflinux.php</b:URL>
    <b:RefOrder>25</b:RefOrder>
  </b:Source>
  <b:Source>
    <b:Tag>Dav</b:Tag>
    <b:SourceType>InternetSite</b:SourceType>
    <b:Guid>{F300EB04-D404-4225-9B7C-6312ADD9DE9C}</b:Guid>
    <b:Author>
      <b:Author>
        <b:NameList>
          <b:Person>
            <b:Last>Rusling</b:Last>
            <b:First>David</b:First>
          </b:Person>
        </b:NameList>
      </b:Author>
    </b:Author>
    <b:InternetSiteTitle>Interprocess Communication Mechanism</b:InternetSiteTitle>
    <b:URL>http://tldp.org/LDP/tlk/ipc/ipc.html</b:URL>
    <b:RefOrder>26</b:RefOrder>
  </b:Source>
  <b:Source>
    <b:Tag>LinLin</b:Tag>
    <b:SourceType>InternetSite</b:SourceType>
    <b:Guid>{DD08B106-9B3C-4DFD-8869-2A697CCCA317}</b:Guid>
    <b:InternetSiteTitle>Linux- The Shell</b:InternetSiteTitle>
    <b:URL>http://en.kioskea.net/contents/linux/linshell.php3</b:URL>
    <b:RefOrder>27</b:RefOrder>
  </b:Source>
  <b:Source>
    <b:Tag>Tim08</b:Tag>
    <b:SourceType>InternetSite</b:SourceType>
    <b:Guid>{2BE5FE28-5687-45AC-A3F8-7909C68E52BD}</b:Guid>
    <b:Author>
      <b:Author>
        <b:NameList>
          <b:Person>
            <b:Last>Jones</b:Last>
            <b:First>Tim</b:First>
          </b:Person>
        </b:NameList>
      </b:Author>
    </b:Author>
    <b:InternetSiteTitle>Anatomy of Linux process Managment</b:InternetSiteTitle>
    <b:Year>2008</b:Year>
    <b:Month>Dec</b:Month>
    <b:URL>http://www.ibm.com/developerworks/linux/library/l-linux-process-management/</b:URL>
    <b:RefOrder>28</b:RefOrder>
  </b:Source>
  <b:Source>
    <b:Tag>Bov00</b:Tag>
    <b:SourceType>InternetSite</b:SourceType>
    <b:Guid>{43D207C8-2942-4D65-8B9E-E9F717A1B269}</b:Guid>
    <b:Author>
      <b:Author>
        <b:NameList>
          <b:Person>
            <b:Last>Bovet</b:Last>
            <b:Middle>P</b:Middle>
            <b:First>Daniel</b:First>
          </b:Person>
          <b:Person>
            <b:Last>Cesati</b:Last>
            <b:First>Marco</b:First>
          </b:Person>
        </b:NameList>
      </b:Author>
    </b:Author>
    <b:InternetSiteTitle>http://oreilly.com/catalog/linuxkernel/chapter/ch10.html#94726</b:InternetSiteTitle>
    <b:Year>2000</b:Year>
    <b:Month>Oct</b:Month>
    <b:URL>http://oreilly.com/catalog/linuxkernel/chapter/ch10.html#94726</b:URL>
    <b:RefOrder>29</b:RefOrder>
  </b:Source>
  <b:Source>
    <b:Tag>Gar00</b:Tag>
    <b:SourceType>InternetSite</b:SourceType>
    <b:Guid>{691718D4-EAAB-44F7-9B93-BEAFDBDB4D49}</b:Guid>
    <b:InternetSiteTitle>POSIX Thread Libraries</b:InternetSiteTitle>
    <b:Year>2000</b:Year>
    <b:Month>FEB</b:Month>
    <b:URL>http://www.linuxjournal.com/article/3184</b:URL>
    <b:Author>
      <b:Author>
        <b:NameList>
          <b:Person>
            <b:Last>Garcia</b:Last>
            <b:First>Felix</b:First>
          </b:Person>
          <b:Person>
            <b:Last>Fernandez</b:Last>
            <b:First>Javier</b:First>
          </b:Person>
        </b:NameList>
      </b:Author>
    </b:Author>
    <b:RefOrder>30</b:RefOrder>
  </b:Source>
  <b:Source>
    <b:Tag>Bla</b:Tag>
    <b:SourceType>InternetSite</b:SourceType>
    <b:Guid>{990DD323-4268-48CA-BE2C-2C58E229D764}</b:Guid>
    <b:InternetSiteTitle>POSIX Threads Programming</b:InternetSiteTitle>
    <b:URL>https://computing.llnl.gov/tutorials/pthreads/#PassingArguments</b:URL>
    <b:Author>
      <b:Author>
        <b:NameList>
          <b:Person>
            <b:Last>Blaise</b:Last>
            <b:First>Barney</b:First>
          </b:Person>
        </b:NameList>
      </b:Author>
    </b:Author>
    <b:RefOrder>31</b:RefOrder>
  </b:Source>
  <b:Source>
    <b:Tag>Redpthreads</b:Tag>
    <b:SourceType>InternetSite</b:SourceType>
    <b:Guid>{471B70DF-EB73-4D61-B973-FA406C7FB7F3}</b:Guid>
    <b:Author>
      <b:Author>
        <b:Corporate>Red Hat</b:Corporate>
      </b:Author>
    </b:Author>
    <b:InternetSiteTitle>Realtime Reference Guide</b:InternetSiteTitle>
    <b:URL>http://docs.redhat.com/docs/en-US/Red_Hat_Enterprise_MRG/1.2/html-single/Realtime_Reference_Guide/#chap-Realtime_Reference_Guide-Threads_and_processes</b:URL>
    <b:RefOrder>32</b:RefOrder>
  </b:Source>
  <b:Source>
    <b:Tag>Dre</b:Tag>
    <b:SourceType>Misc</b:SourceType>
    <b:Guid>{DE02558C-0A86-41DC-BFC8-B2300845A881}</b:Guid>
    <b:Author>
      <b:Author>
        <b:NameList>
          <b:Person>
            <b:Last>Drepper</b:Last>
            <b:First>Ulrich</b:First>
          </b:Person>
          <b:Person>
            <b:Last>Molna</b:Last>
            <b:First>Ingo</b:First>
          </b:Person>
        </b:NameList>
      </b:Author>
    </b:Author>
    <b:InternetSiteTitle>The Native POSIX Thread Library for Linux</b:InternetSiteTitle>
    <b:Title>The Native POSIX Thread Library for Linux</b:Title>
    <b:RefOrder>33</b:RefOrder>
  </b:Source>
  <b:Source>
    <b:Tag>Shu07</b:Tag>
    <b:SourceType>InternetSite</b:SourceType>
    <b:Guid>{3718E171-4E7A-4D56-AD02-D6309690EB83}</b:Guid>
    <b:Author>
      <b:Author>
        <b:NameList>
          <b:Person>
            <b:Last>Shukla</b:Last>
            <b:First>Vikram</b:First>
          </b:Person>
        </b:NameList>
      </b:Author>
    </b:Author>
    <b:Year>2007</b:Year>
    <b:InternetSiteTitle>Semaphores in Linux</b:InternetSiteTitle>
    <b:Month>May</b:Month>
    <b:URL>http://linuxdevcenter.com/pub/a/linux/2007/05/24/semaphores-in-linux.html</b:URL>
    <b:RefOrder>34</b:RefOrder>
  </b:Source>
  <b:Source>
    <b:Tag>Mut</b:Tag>
    <b:SourceType>InternetSite</b:SourceType>
    <b:Guid>{138CDD78-ACCD-420B-B04A-B1E17F7A3C08}</b:Guid>
    <b:InternetSiteTitle>Mutual Exclusion within a Single Processor Linux kernel</b:InternetSiteTitle>
    <b:URL>http://parallel.rz.uni-mannheim.de/Linux/smp/node2.html</b:URL>
    <b:RefOrder>35</b:RefOrder>
  </b:Source>
  <b:Source>
    <b:Tag>red2</b:Tag>
    <b:SourceType>Misc</b:SourceType>
    <b:Guid>{56B2E945-21A0-4DB7-90EE-E90360031709}</b:Guid>
    <b:Author>
      <b:Author>
        <b:NameList>
          <b:Person>
            <b:Last>redHat</b:Last>
          </b:Person>
        </b:NameList>
      </b:Author>
    </b:Author>
    <b:Title>Red Hat Enterprise Linux Security</b:Title>
    <b:Comments>pdf</b:Comments>
    <b:RefOrder>36</b:RefOrder>
  </b:Source>
  <b:Source>
    <b:Tag>red3</b:Tag>
    <b:SourceType>Misc</b:SourceType>
    <b:Guid>{25F195B5-30CA-454A-B02D-9D3F9C73CE16}</b:Guid>
    <b:Author>
      <b:Author>
        <b:NameList>
          <b:Person>
            <b:Last>redHat</b:Last>
          </b:Person>
        </b:NameList>
      </b:Author>
    </b:Author>
    <b:Title>Red Hat Enterprise linux Security 4</b:Title>
    <b:Comments>http://www.centos.org/docs/4/pdf/rhel-sg-en.pdf</b:Comments>
    <b:RefOrder>37</b:RefOrder>
  </b:Source>
  <b:Source>
    <b:Tag>firewall</b:Tag>
    <b:SourceType>InternetSite</b:SourceType>
    <b:Guid>{9952B1B3-D566-4C84-B61B-78F9016BE90C}</b:Guid>
    <b:Author>
      <b:Author>
        <b:NameList>
          <b:Person>
            <b:Last>redHat</b:Last>
          </b:Person>
        </b:NameList>
      </b:Author>
    </b:Author>
    <b:InternetSiteTitle>Firewall Configuration</b:InternetSiteTitle>
    <b:URL>http://docs.redhat.com/docs/en-US/Red_Hat_Enterprise_Linux/3/html/Installation_Guide_s390/s1-firewallconfig.html</b:URL>
    <b:RefOrder>38</b:RefOrder>
  </b:Source>
  <b:Source>
    <b:Tag>GHA</b:Tag>
    <b:SourceType>InternetSite</b:SourceType>
    <b:Guid>{B154D775-0656-41E4-A1B1-7CAFEB2FA646}</b:Guid>
    <b:Author>
      <b:Author>
        <b:NameList>
          <b:Person>
            <b:Last>GHAZALI</b:Last>
          </b:Person>
        </b:NameList>
      </b:Author>
    </b:Author>
    <b:InternetSiteTitle>Configuring Iptables Nat Firewall</b:InternetSiteTitle>
    <b:URL>http://ghaza.li/tutorial/linux/configuring-iptables-nat-firewalling/</b:URL>
    <b:RefOrder>39</b:RefOrder>
  </b:Source>
  <b:Source>
    <b:Tag>Gui</b:Tag>
    <b:SourceType>InternetSite</b:SourceType>
    <b:Guid>{7495F383-0A33-4091-B20C-A0A334658FCB}</b:Guid>
    <b:InternetSiteTitle>Guide to the Secure Configuration of REd Hat Enterprise Linux 5</b:InternetSiteTitle>
    <b:URL>http://www.nsa.gov/ia/_files/os/redhat/rhel5-guide-i731.pdf</b:URL>
    <b:RefOrder>40</b:RefOrder>
  </b:Source>
  <b:Source>
    <b:Tag>selinxguid</b:Tag>
    <b:SourceType>InternetSite</b:SourceType>
    <b:Guid>{87BB9E94-50D0-4526-A83A-F74551FD54DD}</b:Guid>
    <b:Author>
      <b:Author>
        <b:NameList>
          <b:Person>
            <b:Last>redHat</b:Last>
          </b:Person>
        </b:NameList>
      </b:Author>
    </b:Author>
    <b:InternetSiteTitle>SELinux Guide</b:InternetSiteTitle>
    <b:URL>http://docs.redhat.com/docs/en-US/Red_Hat_Enterprise_Linux/4/html/SELinux_Guide/selg-preface-0011.html</b:URL>
    <b:RefOrder>41</b:RefOrder>
  </b:Source>
  <b:Source>
    <b:Tag>audting</b:Tag>
    <b:SourceType>InternetSite</b:SourceType>
    <b:Guid>{6263B7B9-021F-4726-88B6-44A62897835C}</b:Guid>
    <b:Author>
      <b:Author>
        <b:NameList>
          <b:Person>
            <b:Last>redHat</b:Last>
          </b:Person>
        </b:NameList>
      </b:Author>
    </b:Author>
    <b:InternetSiteTitle>Documentation = Auditing</b:InternetSiteTitle>
    <b:URL>http://docs.redhat.com/docs/en-US/JBoss_Enterprise_Application_Platform/5/html/Security_Guide/chap-Security_Event_Auditing.html</b:URL>
    <b:RefOrder>42</b:RefOrder>
  </b:Source>
  <b:Source>
    <b:Tag>ssid</b:Tag>
    <b:SourceType>InternetSite</b:SourceType>
    <b:Guid>{2791A77F-95DE-4772-92D9-7BD95DB06ABF}</b:Guid>
    <b:Author>
      <b:Author>
        <b:NameList>
          <b:Person>
            <b:Last>redhat</b:Last>
          </b:Person>
        </b:NameList>
      </b:Author>
    </b:Author>
    <b:InternetSiteTitle>SSID Feature</b:InternetSiteTitle>
    <b:URL>http://docs.redhat.com/docs/en-US/Red_Hat_Enterprise_Linux/6/html/Deployment_Guide/sect-SSSD_User_Guide-Introduction-SSSD_Features.html</b:URL>
    <b:RefOrder>43</b:RefOrder>
  </b:Source>
  <b:Source>
    <b:Tag>Cho143</b:Tag>
    <b:SourceType>JournalArticle</b:SourceType>
    <b:Guid>{9ADD9B0C-7FC4-4188-92AD-F9679676DD3B}</b:Guid>
    <b:Author>
      <b:Author>
        <b:NameList>
          <b:Person>
            <b:Last>Chou</b:Last>
            <b:First>Jui-Sheng</b:First>
          </b:Person>
          <b:Person>
            <b:Last>Bui</b:Last>
            <b:First>Dac-Khuong</b:First>
          </b:Person>
        </b:NameList>
      </b:Author>
    </b:Author>
    <b:Title>Modeling heating and cooling loads by artificial intelligence for energy-efficient building design</b:Title>
    <b:JournalName>Energy and Buildings 82</b:JournalName>
    <b:Year>2014</b:Year>
    <b:Pages>437-446</b:Pages>
    <b:RefOrder>44</b:RefOrder>
  </b:Source>
  <b:Source>
    <b:Tag>Liu15</b:Tag>
    <b:SourceType>JournalArticle</b:SourceType>
    <b:Guid>{9AFEA5EF-0FDC-4432-A59D-DDB760B84DFC}</b:Guid>
    <b:Author>
      <b:Author>
        <b:NameList>
          <b:Person>
            <b:Last>Liu</b:Last>
            <b:First>Sha</b:First>
          </b:Person>
          <b:Person>
            <b:Last>Meng</b:Last>
            <b:First>Xianhai</b:First>
          </b:Person>
          <b:Person>
            <b:Last>Tam</b:Last>
            <b:First>Chiming</b:First>
          </b:Person>
        </b:NameList>
      </b:Author>
    </b:Author>
    <b:Title>Building information modeling based building design optimization for sustainability</b:Title>
    <b:JournalName>Energy and Buildings 105</b:JournalName>
    <b:Year>2015</b:Year>
    <b:Pages>139-153</b:Pages>
    <b:RefOrder>45</b:RefOrder>
  </b:Source>
  <b:Source>
    <b:Tag>07Te</b:Tag>
    <b:SourceType>ConferenceProceedings</b:SourceType>
    <b:Guid>{A08BA8D6-891F-4FD4-90C8-0DF3A9E5DBE8}</b:Guid>
    <b:JournalName>Tenth International IBPSA Conference, Beijing, China</b:JournalName>
    <b:Year>2007</b:Year>
    <b:Title>Thermal Performance Simulation from an Architectural Design Viewpoint</b:Title>
    <b:Author>
      <b:Author>
        <b:NameList>
          <b:Person>
            <b:Last>Bleil de Souza</b:Last>
            <b:First>Clarice</b:First>
          </b:Person>
          <b:Person>
            <b:Last>Knight</b:Last>
            <b:First>Ian</b:First>
          </b:Person>
        </b:NameList>
      </b:Author>
    </b:Author>
    <b:ConferenceName>Tenth International IBPSA Conference</b:ConferenceName>
    <b:City>Beijing, China</b:City>
    <b:RefOrder>46</b:RefOrder>
  </b:Source>
  <b:Source>
    <b:Tag>Azh11</b:Tag>
    <b:SourceType>JournalArticle</b:SourceType>
    <b:Guid>{4567E117-55A2-4D45-B4E2-4ADD61E83D15}</b:Guid>
    <b:Author>
      <b:Author>
        <b:NameList>
          <b:Person>
            <b:Last>Azhar</b:Last>
            <b:First>Salman</b:First>
          </b:Person>
        </b:NameList>
      </b:Author>
    </b:Author>
    <b:Title>Building Information Modeling (BIM): Trends, Benefits, Risks, and Challenges for the AEC Industry</b:Title>
    <b:JournalName>Leadership and Management in Engineering 11</b:JournalName>
    <b:Year>2011</b:Year>
    <b:Pages>241-252</b:Pages>
    <b:RefOrder>47</b:RefOrder>
  </b:Source>
  <b:Source>
    <b:Tag>Hen02</b:Tag>
    <b:SourceType>ConferenceProceedings</b:SourceType>
    <b:Guid>{C20AE654-F9CE-468F-8CB5-8DFFBBC45C29}</b:Guid>
    <b:Author>
      <b:Author>
        <b:NameList>
          <b:Person>
            <b:Last>Hensen</b:Last>
            <b:First>Jan</b:First>
          </b:Person>
        </b:NameList>
      </b:Author>
    </b:Author>
    <b:Title>Simulation for performance based building and systems design: some issues and solution directions</b:Title>
    <b:Year>2002</b:Year>
    <b:Pages>14</b:Pages>
    <b:ConferenceName>6th International Coference on Design and Decisions Support Systems in Architecture and Urban Planning</b:ConferenceName>
    <b:City>Ellecom</b:City>
    <b:Publisher>Technische Universiteit Eindhoven, Netherlands</b:Publisher>
    <b:RefOrder>48</b:RefOrder>
  </b:Source>
  <b:Source>
    <b:Tag>Jam16</b:Tag>
    <b:SourceType>JournalArticle</b:SourceType>
    <b:Guid>{EA0FDBB6-78CB-4961-9323-7E6DC880D35A}</b:Guid>
    <b:Title>Project-Based Construction Engineering Education in a Virtual Environment</b:Title>
    <b:Year>2016</b:Year>
    <b:Author>
      <b:Author>
        <b:NameList>
          <b:Person>
            <b:Last>Goedert</b:Last>
            <b:First>James</b:First>
          </b:Person>
          <b:Person>
            <b:Last>Rokooei</b:Last>
            <b:First>Saeed</b:First>
          </b:Person>
        </b:NameList>
      </b:Author>
    </b:Author>
    <b:JournalName>International Journal of Construction Education and Research</b:JournalName>
    <b:URL>http://www.tandfonline.com/doi/full/10.1080/15578771.2015.1121936</b:URL>
    <b:DOI>10.1080/15578771.2015.1121936</b:DOI>
    <b:RefOrder>49</b:RefOrder>
  </b:Source>
  <b:Source>
    <b:Tag>Goe132</b:Tag>
    <b:SourceType>ConferenceProceedings</b:SourceType>
    <b:Guid>{6304CEB9-8701-479B-9FA1-F38DB3B4A0B5}</b:Guid>
    <b:Author>
      <b:Author>
        <b:NameList>
          <b:Person>
            <b:Last>Goedert</b:Last>
            <b:First>J.</b:First>
          </b:Person>
          <b:Person>
            <b:Last>Rokooeisadabad</b:Last>
            <b:First>S.</b:First>
          </b:Person>
          <b:Person>
            <b:Last>Pawloski</b:Last>
            <b:First>R.</b:First>
          </b:Person>
        </b:NameList>
      </b:Author>
    </b:Author>
    <b:Title>A Project-based Simulation Model for Construction Education</b:Title>
    <b:Year>2013</b:Year>
    <b:ConferenceName>5th Conference on Higher Education Pedagogy</b:ConferenceName>
    <b:City>Blacksburg</b:City>
    <b:Publisher>Virginia Tech</b:Publisher>
    <b:RefOrder>50</b:RefOrder>
  </b:Source>
  <b:Source>
    <b:Tag>Sch16</b:Tag>
    <b:SourceType>JournalArticle</b:SourceType>
    <b:Guid>{D2AADCA4-0CD3-4274-8575-28576BFA1FEF}</b:Guid>
    <b:Author>
      <b:Author>
        <b:NameList>
          <b:Person>
            <b:Last>Scherer</b:Last>
            <b:First>Yvonne</b:First>
            <b:Middle>K.</b:Middle>
          </b:Person>
          <b:Person>
            <b:Last>Foltz-Ramos</b:Last>
            <b:First>Kelly</b:First>
          </b:Person>
          <b:Person>
            <b:Last>Fabry</b:Last>
            <b:First>Donna</b:First>
          </b:Person>
          <b:Person>
            <b:Last>Chao</b:Last>
            <b:First>Ying-Yu</b:First>
          </b:Person>
        </b:NameList>
      </b:Author>
    </b:Author>
    <b:Title>Evaluating Simulation Methodologies to Determine Best Strategies to Maximize Student Learning</b:Title>
    <b:JournalName>Journal of Professional Nursing</b:JournalName>
    <b:Year>2016</b:Year>
    <b:Pages>1-9</b:Pages>
    <b:RefOrder>51</b:RefOrder>
  </b:Source>
  <b:Source>
    <b:Tag>Hun16</b:Tag>
    <b:SourceType>JournalArticle</b:SourceType>
    <b:Guid>{D81F3E64-EC04-4E03-864D-23F7109687D7}</b:Guid>
    <b:Title>Development and validation of the simulation-based learning evaluation scale</b:Title>
    <b:Pages>72–77</b:Pages>
    <b:Year>2016</b:Year>
    <b:Author>
      <b:Author>
        <b:NameList>
          <b:Person>
            <b:Last>Hung</b:Last>
            <b:First>Chang-Chiao</b:First>
          </b:Person>
          <b:Person>
            <b:Last>Liu</b:Last>
            <b:First>Hsiu-Chen</b:First>
          </b:Person>
          <b:Person>
            <b:Last>Lin</b:Last>
            <b:First>Chun-Chih</b:First>
          </b:Person>
          <b:Person>
            <b:Last>Lee</b:Last>
            <b:First>Bih-O</b:First>
          </b:Person>
        </b:NameList>
      </b:Author>
    </b:Author>
    <b:JournalName>Nurse Education Today 40</b:JournalName>
    <b:RefOrder>52</b:RefOrder>
  </b:Source>
  <b:Source>
    <b:Tag>Goe131</b:Tag>
    <b:SourceType>JournalArticle</b:SourceType>
    <b:Guid>{8A8EEE1F-859F-46CA-A11F-252900972DEE}</b:Guid>
    <b:Author>
      <b:Author>
        <b:NameList>
          <b:Person>
            <b:Last>Goedert</b:Last>
            <b:First>J.</b:First>
          </b:Person>
          <b:Person>
            <b:Last>Pawloski</b:Last>
            <b:First>R.</b:First>
          </b:Person>
          <b:Person>
            <b:Last>Rokooeisadabad</b:Last>
            <b:First>S.</b:First>
          </b:Person>
          <b:Person>
            <b:Last>Subramaniam</b:Last>
            <b:First>M.</b:First>
          </b:Person>
        </b:NameList>
      </b:Author>
    </b:Author>
    <b:Title>Project-Oriented Pedagogical Model for Construction Engineering Education Using Cyberinfrastructure Tool</b:Title>
    <b:JournalName>Journal of Professional Issues in Engineering Education &amp; Practice</b:JournalName>
    <b:Year>2013</b:Year>
    <b:Pages>300-309</b:Pages>
    <b:Publisher>ASCE</b:Publisher>
    <b:Volume>139</b:Volume>
    <b:Issue>4</b:Issue>
    <b:RefOrder>53</b:RefOrder>
  </b:Source>
  <b:Source>
    <b:Tag>Goe</b:Tag>
    <b:SourceType>ConferenceProceedings</b:SourceType>
    <b:Guid>{A3EA4A7C-990F-45D5-9902-CCA085C27CDE}</b:Guid>
    <b:Author>
      <b:Author>
        <b:NameList>
          <b:Person>
            <b:Last>Goedert</b:Last>
            <b:First>James</b:First>
          </b:Person>
          <b:Person>
            <b:Last>Rokooei</b:Last>
            <b:First>Saeed</b:First>
          </b:Person>
          <b:Person>
            <b:Last>Pawloski</b:Last>
            <b:First>Robert</b:First>
          </b:Person>
        </b:NameList>
      </b:Author>
    </b:Author>
    <b:Title>Virtual Interactive Construction Education: A Project-based Pedagogical Model for Construction Engineering and Management</b:Title>
    <b:Pages>73-74</b:Pages>
    <b:Year>2012</b:Year>
    <b:ConferenceName>7th Conference on Higher Education Pedagogy- Virginia Tech</b:ConferenceName>
    <b:City>Blacksburg</b:City>
    <b:Publisher>7th Conference on Higher Education Pedagogy</b:Publisher>
    <b:RefOrder>54</b:RefOrder>
  </b:Source>
  <b:Source>
    <b:Tag>Rok14</b:Tag>
    <b:SourceType>ConferenceProceedings</b:SourceType>
    <b:Guid>{8286B4BD-00B9-4CD0-B4FC-EDE067093FD4}</b:Guid>
    <b:Author>
      <b:Author>
        <b:NameList>
          <b:Person>
            <b:Last>Rokooei</b:Last>
            <b:First>S.</b:First>
          </b:Person>
          <b:Person>
            <b:Last>Goedert</b:Last>
            <b:First>J.</b:First>
          </b:Person>
          <b:Person>
            <b:Last>Weerakoon</b:Last>
            <b:First>A.</b:First>
          </b:Person>
        </b:NameList>
      </b:Author>
    </b:Author>
    <b:Title>Simulation as an Effective Tool for Gender Education in Construction</b:Title>
    <b:Year>2014</b:Year>
    <b:ConferenceName>6th Conference on Higher Education Pedagogy</b:ConferenceName>
    <b:City>Blacksburg</b:City>
    <b:Publisher>Virginia Tech</b:Publisher>
    <b:RefOrder>55</b:RefOrder>
  </b:Source>
  <b:Source>
    <b:Tag>Rah14</b:Tag>
    <b:SourceType>JournalArticle</b:SourceType>
    <b:Guid>{5C68DEDE-4DBD-45E3-BC60-B2629FBDC2E5}</b:Guid>
    <b:Author>
      <b:Author>
        <b:NameList>
          <b:Person>
            <b:Last>Rahul Tiwari</b:Last>
            <b:First>Shalini</b:First>
          </b:Person>
          <b:Person>
            <b:Last>Nafees</b:Last>
            <b:First>Lubna</b:First>
          </b:Person>
          <b:Person>
            <b:Last>Krishnan</b:Last>
            <b:First>Omkumar</b:First>
          </b:Person>
        </b:NameList>
      </b:Author>
    </b:Author>
    <b:Title>Simulation as a pedagogical tool: Measurement of impact on perceived effective learning</b:Title>
    <b:JournalName>The International Journal of Management Education 12</b:JournalName>
    <b:Year>2014</b:Year>
    <b:Pages>260-270</b:Pages>
    <b:RefOrder>56</b:RefOrder>
  </b:Source>
  <b:Source>
    <b:Tag>CKS</b:Tag>
    <b:SourceType>Misc</b:SourceType>
    <b:Guid>{0AA4CEA8-1A04-4E3C-AE8F-569854B7D938}</b:Guid>
    <b:Author>
      <b:Author>
        <b:NameList>
          <b:Person>
            <b:Last>CK Seely</b:Last>
            <b:First>Jennifer</b:First>
          </b:Person>
        </b:NameList>
      </b:Author>
    </b:Author>
    <b:Title>Digital Fabrication in the Architectural Design Process</b:Title>
    <b:Year>2004</b:Year>
    <b:PublicationTitle>MS Thesis in Architecture Studies, Massachusetts Institute of Technology (MIT), Department of Architecture</b:PublicationTitle>
    <b:RefOrder>57</b:RefOrder>
  </b:Source>
  <b:Source>
    <b:Tag>Rok15</b:Tag>
    <b:SourceType>ConferenceProceedings</b:SourceType>
    <b:Guid>{DE1405F9-BBB4-4B4D-A515-DC276C7B6F6F}</b:Guid>
    <b:Author>
      <b:Author>
        <b:NameList>
          <b:Person>
            <b:Last>Rokooei</b:Last>
            <b:First>Saeed</b:First>
          </b:Person>
          <b:Person>
            <b:Last>Goedert</b:Last>
            <b:First>James</b:First>
            <b:Middle>Dean</b:Middle>
          </b:Person>
        </b:NameList>
      </b:Author>
    </b:Author>
    <b:Title>Lessons learned From a Simulation Project in Construction Education</b:Title>
    <b:Year>2015</b:Year>
    <b:ConferenceName>122nd ASEE Annual Conference &amp; Exposition</b:ConferenceName>
    <b:City>Seattle, Washington</b:City>
    <b:Publisher>American Society for Engineering Education</b:Publisher>
    <b:URL>https://www.asee.org/public/conferences/56/papers/12164/view</b:URL>
    <b:DOI>10.18260/p.24420</b:DOI>
    <b:RefOrder>58</b:RefOrder>
  </b:Source>
  <b:Source>
    <b:Tag>iii</b:Tag>
    <b:SourceType>Art</b:SourceType>
    <b:Guid>{547D1189-0A61-4068-B0CB-BE00DDEBE841}</b:Guid>
    <b:Title>ii</b:Title>
    <b:Author>
      <b:Artist>
        <b:NameList>
          <b:Person>
            <b:Last>iiii</b:Last>
          </b:Person>
        </b:NameList>
      </b:Artist>
    </b:Author>
    <b:PublicationTitle>kkkk</b:PublicationTitle>
    <b:RefOrder>59</b:RefOrder>
  </b:Source>
  <b:Source>
    <b:Tag>Tan04</b:Tag>
    <b:SourceType>Misc</b:SourceType>
    <b:Guid>{66EDF069-6FD2-4EAA-B5F9-87C8FA84C1E8}</b:Guid>
    <b:Author>
      <b:Author>
        <b:NameList>
          <b:Person>
            <b:Last>Tang</b:Last>
            <b:First>Dechao</b:First>
          </b:Person>
          <b:Person>
            <b:Last>Kim</b:Last>
            <b:First>Jaemin</b:First>
          </b:Person>
        </b:NameList>
      </b:Author>
    </b:Author>
    <b:Title>Simulation Support For Sustainable Design Of Buildings</b:Title>
    <b:Year>2004</b:Year>
    <b:PublicationTitle> ESRU Consultancy, University of Strathclyde, Glasgow, UK</b:PublicationTitle>
    <b:RefOrder>60</b:RefOrder>
  </b:Source>
  <b:Source>
    <b:Tag>And03</b:Tag>
    <b:SourceType>Misc</b:SourceType>
    <b:Guid>{877F7217-C9DA-4400-B315-685BD1ABBD22}</b:Guid>
    <b:Title>A thesis submitted to the Degree of Doctor of Philosophy</b:Title>
    <b:Year>2003</b:Year>
    <b:Author>
      <b:Author>
        <b:NameList>
          <b:Person>
            <b:Last>Andreas</b:Last>
            <b:First>Christoph</b:First>
          </b:Person>
        </b:NameList>
      </b:Author>
    </b:Author>
    <b:PublicationTitle>Towards the Integration of Simulation into the Building Design Process</b:PublicationTitle>
    <b:RefOrder>61</b:RefOrder>
  </b:Source>
  <b:Source>
    <b:Tag>Sae151</b:Tag>
    <b:SourceType>ConferenceProceedings</b:SourceType>
    <b:Guid>{5E7F731A-8CD8-44E4-8829-6EECB0347432}</b:Guid>
    <b:Author>
      <b:Author>
        <b:NameList>
          <b:Person>
            <b:Last>Rokooei</b:Last>
            <b:First>Saeed</b:First>
          </b:Person>
        </b:NameList>
      </b:Author>
    </b:Author>
    <b:Title>Building Information Modeling in Project Management: Necessities, Challenges and Outcomes</b:Title>
    <b:Pages>87-95</b:Pages>
    <b:Year>2015</b:Year>
    <b:ConferenceName>Proceedings of the 4th International Conference on Leadership, Technology, Innovation and Business Management (ICLTIBM-2014)</b:ConferenceName>
    <b:Publisher>Procedia - Social and Behavioral Sciences</b:Publisher>
    <b:URL>http://www.sciencedirect.com/science/article/pii/S1877042815056797</b:URL>
    <b:DOI>10.1016/j.sbspro.2015.11.332</b:DOI>
    <b:RefOrder>62</b:RefOrder>
  </b:Source>
  <b:Source>
    <b:Tag>Hav01</b:Tag>
    <b:SourceType>ConferenceProceedings</b:SourceType>
    <b:Guid>{22DF1851-5E9B-41E6-83A0-BB4523A525B6}</b:Guid>
    <b:Author>
      <b:Author>
        <b:NameList>
          <b:Person>
            <b:Last>Haves</b:Last>
            <b:First>Philip</b:First>
          </b:Person>
          <b:Person>
            <b:Last>Salsbury</b:Last>
            <b:First>Tim</b:First>
          </b:Person>
          <b:Person>
            <b:Last>Claridge</b:Last>
            <b:First>David</b:First>
          </b:Person>
          <b:Person>
            <b:Last>Liu</b:Last>
            <b:First>Mingsheng</b:First>
          </b:Person>
        </b:NameList>
      </b:Author>
    </b:Author>
    <b:Title>Use of Whole Building Simulation in On-Line Performance Assessment: Modeling and Implementation Issues</b:Title>
    <b:Year>2001</b:Year>
    <b:ConferenceName>Seventh International IBPSA Conference Building Simulation</b:ConferenceName>
    <b:City>Rio de Janeiro</b:City>
    <b:RefOrder>63</b:RefOrder>
  </b:Source>
  <b:Source>
    <b:Tag>Abo11</b:Tag>
    <b:SourceType>JournalArticle</b:SourceType>
    <b:Guid>{801F91A3-E681-47D3-AE79-1EB3F01A137B}</b:Guid>
    <b:Title>Role of Simulation in Construction Engineering and Management</b:Title>
    <b:Year>2011</b:Year>
    <b:Author>
      <b:Author>
        <b:NameList>
          <b:Person>
            <b:Last>AbouRizk</b:Last>
            <b:First>Simaan</b:First>
          </b:Person>
        </b:NameList>
      </b:Author>
    </b:Author>
    <b:PublicationTitle>Ph.D., P.E., M.ASCE</b:PublicationTitle>
    <b:JournalName>Construction Engineering and Management</b:JournalName>
    <b:Pages>1140-1153</b:Pages>
    <b:RefOrder>64</b:RefOrder>
  </b:Source>
  <b:Source>
    <b:Tag>Sae15</b:Tag>
    <b:SourceType>ConferenceProceedings</b:SourceType>
    <b:Guid>{4E6E5C17-442D-4372-9D46-B0F4B2036EBB}</b:Guid>
    <b:Author>
      <b:Author>
        <b:NameList>
          <b:Person>
            <b:Last>Rokooei</b:Last>
            <b:First>Saeed</b:First>
          </b:Person>
          <b:Person>
            <b:Last>Goedert</b:Last>
            <b:First>James</b:First>
          </b:Person>
          <b:Person>
            <b:Last>Fickle</b:Last>
            <b:First>Katherine</b:First>
          </b:Person>
        </b:NameList>
      </b:Author>
    </b:Author>
    <b:Title>Using a Simulation Model for Project Management Education</b:Title>
    <b:Year>2015</b:Year>
    <b:ConferenceName>7th Conference on Higher Education Pedagogy</b:ConferenceName>
    <b:City>Blacksburg</b:City>
    <b:Publisher>Virginia Tech</b:Publisher>
    <b:RefOrder>65</b:RefOrder>
  </b:Source>
  <b:Source xmlns:b="http://schemas.openxmlformats.org/officeDocument/2006/bibliography">
    <b:Tag>Val15</b:Tag>
    <b:SourceType>JournalArticle</b:SourceType>
    <b:Guid>{522FA999-A4CC-4967-BD27-A49452F76010}</b:Guid>
    <b:Author>
      <b:Author>
        <b:NameList>
          <b:Person>
            <b:Last>Valinejad Shoubi</b:Last>
            <b:First>Mojtaba</b:First>
          </b:Person>
          <b:Person>
            <b:Last>Valinejad Shoubi</b:Last>
            <b:First>Masoud</b:First>
          </b:Person>
          <b:Person>
            <b:Last>Bagchi</b:Last>
            <b:First>Ashutosh</b:First>
          </b:Person>
          <b:Person>
            <b:Last>Shakiba Barough</b:Last>
            <b:First>Azin</b:First>
          </b:Person>
        </b:NameList>
      </b:Author>
    </b:Author>
    <b:Title>Reducing the operational energy demand in buildings using building information modeling tools and sustainability approaches</b:Title>
    <b:Year>2015</b:Year>
    <b:JournalName>Ain Shams Engineering Journal</b:JournalName>
    <b:Pages>41–55</b:Pages>
    <b:RefOrder>66</b:RefOrder>
  </b:Source>
  <b:Source>
    <b:Tag>htt2</b:Tag>
    <b:SourceType>InternetSite</b:SourceType>
    <b:Guid>{DAEC0B36-D7D0-42F7-A8F3-78EA5D36F285}</b:Guid>
    <b:Title>http://www.esru.strath.ac.uk</b:Title>
    <b:Author>
      <b:Author>
        <b:NameList>
          <b:Person>
            <b:Last>ESRU</b:Last>
          </b:Person>
        </b:NameList>
      </b:Author>
    </b:Author>
    <b:InternetSiteTitle>Energy Systems Research Unit</b:InternetSiteTitle>
    <b:RefOrder>67</b:RefOrder>
  </b:Source>
  <b:Source>
    <b:Tag>www</b:Tag>
    <b:SourceType>InternetSite</b:SourceType>
    <b:Guid>{BC1D5E60-A80F-4532-B904-6D398BAF8511}</b:Guid>
    <b:Title>http://www.fenestration.com/index.php</b:Title>
    <b:Author>
      <b:Author>
        <b:NameList>
          <b:Person>
            <b:Last>Carli</b:Last>
          </b:Person>
        </b:NameList>
      </b:Author>
    </b:Author>
    <b:InternetSiteTitle>Carli, Inc.</b:InternetSiteTitle>
    <b:RefOrder>68</b:RefOrder>
  </b:Source>
  <b:Source>
    <b:Tag>htt</b:Tag>
    <b:SourceType>InternetSite</b:SourceType>
    <b:Guid>{0CEB5ABB-EFA9-4445-8E9C-58137362192D}</b:Guid>
    <b:Title>https://www.energyplus.net</b:Title>
    <b:Author>
      <b:Author>
        <b:NameList>
          <b:Person>
            <b:Last>EnergyPlus</b:Last>
          </b:Person>
        </b:NameList>
      </b:Author>
    </b:Author>
    <b:InternetSiteTitle>EnergyPlus</b:InternetSiteTitle>
    <b:RefOrder>69</b:RefOrder>
  </b:Source>
  <b:Source>
    <b:Tag>Mar03</b:Tag>
    <b:SourceType>JournalArticle</b:SourceType>
    <b:Guid>{EDFC987C-5D87-4EB9-8779-A0ABC15FC593}</b:Guid>
    <b:Author>
      <b:Author>
        <b:NameList>
          <b:Person>
            <b:Last>Marsh</b:Last>
            <b:First>Andrew</b:First>
          </b:Person>
        </b:NameList>
      </b:Author>
    </b:Author>
    <b:Title>ECOTECT and EnergyPlus</b:Title>
    <b:Year>2003</b:Year>
    <b:City>Wales, United Kingdom</b:City>
    <b:JournalName>Building Energy Simulation User News, Vol 24, No. 6</b:JournalName>
    <b:RefOrder>70</b:RefOrder>
  </b:Source>
  <b:Source>
    <b:Tag>sah1</b:Tag>
    <b:SourceType>JournalArticle</b:SourceType>
    <b:Guid>{E372D490-A527-446D-83F1-0D5EBBCFF276}</b:Guid>
    <b:Author>
      <b:Artist>
        <b:NameList>
          <b:Person>
            <b:Last>sahra</b:Last>
          </b:Person>
        </b:NameList>
      </b:Artist>
      <b:Author>
        <b:NameList>
          <b:Person>
            <b:Last>sahra</b:Last>
          </b:Person>
        </b:NameList>
      </b:Author>
    </b:Author>
    <b:Title>bbb</b:Title>
    <b:RefOrder>71</b:RefOrder>
  </b:Source>
</b:Sources>
</file>

<file path=customXml/itemProps1.xml><?xml version="1.0" encoding="utf-8"?>
<ds:datastoreItem xmlns:ds="http://schemas.openxmlformats.org/officeDocument/2006/customXml" ds:itemID="{A6D9D385-0616-492D-B24B-54EB17BEC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14</Pages>
  <Words>7548</Words>
  <Characters>43025</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International Journal of Scientific Research in Science, Engineering and Technology,IJSRSET</vt:lpstr>
    </vt:vector>
  </TitlesOfParts>
  <Manager>TechnoScience Academy;http://technoscienceacademy.com</Manager>
  <Company>TechnoScience Academy;http://technoscienceacademy.com</Company>
  <LinksUpToDate>false</LinksUpToDate>
  <CharactersWithSpaces>50473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Journal of Scientific Research in Science, Engineering and Technology,IJSRSET</dc:title>
  <dc:subject>Research Paper</dc:subject>
  <dc:creator>TechnoScience Academy;www.ijsrset.com</dc:creator>
  <cp:keywords>IJSRSET; http:/ijsrset.com</cp:keywords>
  <cp:lastModifiedBy>Prof. Bhavesh Kataria</cp:lastModifiedBy>
  <cp:revision>421</cp:revision>
  <cp:lastPrinted>2025-02-24T15:06:00Z</cp:lastPrinted>
  <dcterms:created xsi:type="dcterms:W3CDTF">2022-01-04T18:37:00Z</dcterms:created>
  <dcterms:modified xsi:type="dcterms:W3CDTF">2025-07-23T20:25:00Z</dcterms:modified>
  <cp:category>Science, Engineering and Technology;http://technoscienceacademy.com</cp:category>
  <cp:contentStatus>Active</cp:contentStatus>
  <dc:language>English</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8f47d03315258b3d1c62a626d69c9861d9b6f94a71def41d0b8e7ba4d3340d24</vt:lpwstr>
  </property>
</Properties>
</file>